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2A80CF64" w:rsidR="006D27E0" w:rsidRPr="006D27E0" w:rsidRDefault="007B3826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__________2022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1F046306" w:rsidR="00B46E78" w:rsidRPr="00E24A2B" w:rsidRDefault="00B46E7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11566583" w:rsidR="008E39B3" w:rsidRPr="00E24A2B" w:rsidRDefault="008E39B3" w:rsidP="00A7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Северная Осетия-Алания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публичного предложения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4CE47A14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</w:t>
      </w:r>
      <w:r w:rsidR="00A53913" w:rsidRPr="00A53913">
        <w:t xml:space="preserve"> 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27 августа 2012 г. № 860 «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форме»,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F5" w:rsidRPr="00E4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муниципального образования Ирафский район от 28.12.2021 г. №34/6 «Об утверждении прогнозного плана приватизации муниципального имущества муниципального образования Ирафский район на 2022 г.», решением Собрания представителей муниципального образования Ирафский район от 02.08.2022 г. №38/3 о внесение изменений в решение Собрания представителей муниципального образования Ирафский район «Об утверждении прогнозного плана приватизации муниципального имущества муниципального образования Ирафский район на 2022 г.»,  </w:t>
      </w:r>
      <w:r w:rsidR="00A04DC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A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DA0" w:rsidRPr="000244A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 w:rsidR="00AB36BE" w:rsidRPr="000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C82D81" w:rsidRPr="000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36BE" w:rsidRPr="000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0DA0" w:rsidRPr="000244AB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172B02" w:rsidRPr="005B04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0C44655D" w14:textId="724314A0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1C">
        <w:rPr>
          <w:rFonts w:ascii="Times New Roman" w:hAnsi="Times New Roman" w:cs="Times New Roman"/>
          <w:b/>
          <w:sz w:val="28"/>
          <w:szCs w:val="28"/>
        </w:rPr>
        <w:t>торгов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713227A9" w14:textId="77777777" w:rsidR="002C1F52" w:rsidRPr="002C1F52" w:rsidRDefault="0038714F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</w:t>
      </w:r>
      <w:r w:rsidR="002C1F52"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2C28827F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2922FE9B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3E8E4A3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73C0F105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4BEB480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1C35F328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5CBE0020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0017A71E" w14:textId="77777777" w:rsidR="002C1F52" w:rsidRPr="002C1F52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ОКТМО- 90620000</w:t>
      </w:r>
    </w:p>
    <w:p w14:paraId="2672D50F" w14:textId="0447E535" w:rsidR="002C1F52" w:rsidRPr="002C1F52" w:rsidRDefault="002C1F52" w:rsidP="00860D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ОТДЕЛЕНИЕ-НБ РЕСП. СЕВЕРНАЯ ОСЕТИЯ-АЛАНИЯ </w:t>
      </w:r>
      <w:proofErr w:type="gramStart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БАНКА </w:t>
      </w:r>
      <w:r w:rsidR="00860D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РОССИИ</w:t>
      </w:r>
      <w:proofErr w:type="gramEnd"/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//УФК по Республике Северная Осетия - Алания г. Владикавказ</w:t>
      </w:r>
    </w:p>
    <w:p w14:paraId="4B2A1AEF" w14:textId="6FFF8268" w:rsidR="008E39B3" w:rsidRPr="004359DE" w:rsidRDefault="002C1F52" w:rsidP="002C1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C1F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5E45940B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73AC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 в электронной форме.</w:t>
      </w:r>
      <w:r w:rsidR="00275348" w:rsidRPr="00275348">
        <w:t xml:space="preserve">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</w:t>
      </w:r>
      <w:r w:rsid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27 августа 2012 г. №</w:t>
      </w:r>
      <w:r w:rsidR="00BB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«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B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форме»</w:t>
      </w:r>
    </w:p>
    <w:p w14:paraId="50052230" w14:textId="25C08A67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1B73AC" w:rsidRPr="001B73AC">
        <w:t xml:space="preserve"> </w:t>
      </w:r>
      <w:r w:rsidR="001B73AC" w:rsidRPr="001B7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открытой</w:t>
      </w:r>
      <w:r w:rsidR="008E39B3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12ECAFB9" w:rsidR="008C7CAF" w:rsidRPr="00051E9F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051E9F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1B73AC" w:rsidRPr="00051E9F">
        <w:rPr>
          <w:rFonts w:ascii="PT Astra Serif" w:hAnsi="PT Astra Serif" w:cs="Times New Roman"/>
          <w:sz w:val="28"/>
          <w:szCs w:val="28"/>
        </w:rPr>
        <w:t>а заявок на участие в торгах</w:t>
      </w:r>
      <w:r w:rsidR="000B2894" w:rsidRPr="00051E9F">
        <w:rPr>
          <w:rFonts w:ascii="PT Astra Serif" w:hAnsi="PT Astra Serif" w:cs="Times New Roman"/>
          <w:sz w:val="28"/>
          <w:szCs w:val="28"/>
        </w:rPr>
        <w:t xml:space="preserve"> </w:t>
      </w:r>
      <w:r w:rsidRPr="00051E9F">
        <w:rPr>
          <w:rFonts w:ascii="PT Astra Serif" w:hAnsi="PT Astra Serif" w:cs="Times New Roman"/>
          <w:sz w:val="28"/>
          <w:szCs w:val="28"/>
        </w:rPr>
        <w:t xml:space="preserve">– </w:t>
      </w:r>
      <w:r w:rsidR="00BB6BEB">
        <w:rPr>
          <w:rFonts w:ascii="PT Astra Serif" w:hAnsi="PT Astra Serif" w:cs="Times New Roman"/>
          <w:sz w:val="28"/>
          <w:szCs w:val="28"/>
        </w:rPr>
        <w:t>24</w:t>
      </w:r>
      <w:r w:rsidRPr="00051E9F">
        <w:rPr>
          <w:rFonts w:ascii="PT Astra Serif" w:hAnsi="PT Astra Serif" w:cs="Times New Roman"/>
          <w:sz w:val="28"/>
          <w:szCs w:val="28"/>
        </w:rPr>
        <w:t>.</w:t>
      </w:r>
      <w:r w:rsidR="00AB36BE">
        <w:rPr>
          <w:rFonts w:ascii="PT Astra Serif" w:hAnsi="PT Astra Serif" w:cs="Times New Roman"/>
          <w:sz w:val="28"/>
          <w:szCs w:val="28"/>
        </w:rPr>
        <w:t>1</w:t>
      </w:r>
      <w:r w:rsidR="00BB6BEB">
        <w:rPr>
          <w:rFonts w:ascii="PT Astra Serif" w:hAnsi="PT Astra Serif" w:cs="Times New Roman"/>
          <w:sz w:val="28"/>
          <w:szCs w:val="28"/>
        </w:rPr>
        <w:t>1</w:t>
      </w:r>
      <w:r w:rsidRPr="00051E9F">
        <w:rPr>
          <w:rFonts w:ascii="PT Astra Serif" w:hAnsi="PT Astra Serif" w:cs="Times New Roman"/>
          <w:sz w:val="28"/>
          <w:szCs w:val="28"/>
        </w:rPr>
        <w:t>.20</w:t>
      </w:r>
      <w:r w:rsidR="00AB36BE">
        <w:rPr>
          <w:rFonts w:ascii="PT Astra Serif" w:hAnsi="PT Astra Serif" w:cs="Times New Roman"/>
          <w:sz w:val="28"/>
          <w:szCs w:val="28"/>
        </w:rPr>
        <w:t>22</w:t>
      </w:r>
      <w:r w:rsidR="004359DE" w:rsidRPr="00051E9F">
        <w:rPr>
          <w:rFonts w:ascii="PT Astra Serif" w:hAnsi="PT Astra Serif" w:cs="Times New Roman"/>
          <w:sz w:val="28"/>
          <w:szCs w:val="28"/>
        </w:rPr>
        <w:t>г.</w:t>
      </w:r>
      <w:r w:rsidRPr="00051E9F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051E9F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051E9F">
        <w:rPr>
          <w:rFonts w:ascii="PT Astra Serif" w:hAnsi="PT Astra Serif"/>
          <w:sz w:val="28"/>
          <w:szCs w:val="28"/>
        </w:rPr>
        <w:t>9</w:t>
      </w:r>
      <w:r w:rsidR="000B2894" w:rsidRPr="00051E9F">
        <w:rPr>
          <w:rFonts w:ascii="PT Astra Serif" w:hAnsi="PT Astra Serif"/>
          <w:sz w:val="28"/>
          <w:szCs w:val="28"/>
        </w:rPr>
        <w:t xml:space="preserve"> часов </w:t>
      </w:r>
      <w:r w:rsidRPr="00051E9F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051E9F">
        <w:rPr>
          <w:rFonts w:ascii="PT Astra Serif" w:hAnsi="PT Astra Serif" w:cs="Times New Roman"/>
          <w:sz w:val="28"/>
          <w:szCs w:val="28"/>
        </w:rPr>
        <w:t>.</w:t>
      </w:r>
      <w:r w:rsidR="001B73AC" w:rsidRPr="00051E9F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9BE108" w14:textId="47993B75" w:rsidR="008C7CAF" w:rsidRPr="00051E9F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051E9F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 w:rsidRPr="00051E9F">
        <w:rPr>
          <w:rFonts w:ascii="PT Astra Serif" w:hAnsi="PT Astra Serif" w:cs="Times New Roman"/>
          <w:sz w:val="28"/>
          <w:szCs w:val="28"/>
        </w:rPr>
        <w:t>а заявок на</w:t>
      </w:r>
      <w:r w:rsidR="00A2761C" w:rsidRPr="00051E9F">
        <w:t xml:space="preserve"> </w:t>
      </w:r>
      <w:r w:rsidR="00A2761C" w:rsidRPr="00051E9F">
        <w:rPr>
          <w:rFonts w:ascii="PT Astra Serif" w:hAnsi="PT Astra Serif" w:cs="Times New Roman"/>
          <w:sz w:val="28"/>
          <w:szCs w:val="28"/>
        </w:rPr>
        <w:t xml:space="preserve">участие в торгах </w:t>
      </w:r>
      <w:r w:rsidRPr="00051E9F">
        <w:rPr>
          <w:rFonts w:ascii="PT Astra Serif" w:hAnsi="PT Astra Serif" w:cs="Times New Roman"/>
          <w:sz w:val="28"/>
          <w:szCs w:val="28"/>
        </w:rPr>
        <w:t xml:space="preserve">– </w:t>
      </w:r>
      <w:r w:rsidR="00BB6BEB">
        <w:rPr>
          <w:rFonts w:ascii="PT Astra Serif" w:hAnsi="PT Astra Serif" w:cs="Times New Roman"/>
          <w:sz w:val="28"/>
          <w:szCs w:val="28"/>
        </w:rPr>
        <w:t>22</w:t>
      </w:r>
      <w:r w:rsidRPr="00051E9F">
        <w:rPr>
          <w:rFonts w:ascii="PT Astra Serif" w:hAnsi="PT Astra Serif" w:cs="Times New Roman"/>
          <w:sz w:val="28"/>
          <w:szCs w:val="28"/>
        </w:rPr>
        <w:t>.</w:t>
      </w:r>
      <w:r w:rsidR="00BB6BEB">
        <w:rPr>
          <w:rFonts w:ascii="PT Astra Serif" w:hAnsi="PT Astra Serif" w:cs="Times New Roman"/>
          <w:sz w:val="28"/>
          <w:szCs w:val="28"/>
        </w:rPr>
        <w:t>12</w:t>
      </w:r>
      <w:r w:rsidRPr="00051E9F">
        <w:rPr>
          <w:rFonts w:ascii="PT Astra Serif" w:hAnsi="PT Astra Serif" w:cs="Times New Roman"/>
          <w:sz w:val="28"/>
          <w:szCs w:val="28"/>
        </w:rPr>
        <w:t>.20</w:t>
      </w:r>
      <w:r w:rsidR="00AB36BE">
        <w:rPr>
          <w:rFonts w:ascii="PT Astra Serif" w:hAnsi="PT Astra Serif" w:cs="Times New Roman"/>
          <w:sz w:val="28"/>
          <w:szCs w:val="28"/>
        </w:rPr>
        <w:t>22</w:t>
      </w:r>
      <w:r w:rsidR="004359DE" w:rsidRPr="00051E9F">
        <w:rPr>
          <w:rFonts w:ascii="PT Astra Serif" w:hAnsi="PT Astra Serif" w:cs="Times New Roman"/>
          <w:sz w:val="28"/>
          <w:szCs w:val="28"/>
        </w:rPr>
        <w:t>г.</w:t>
      </w:r>
      <w:r w:rsidRPr="00051E9F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051E9F">
        <w:rPr>
          <w:rFonts w:ascii="PT Astra Serif" w:hAnsi="PT Astra Serif"/>
          <w:sz w:val="28"/>
          <w:szCs w:val="28"/>
        </w:rPr>
        <w:t xml:space="preserve">в </w:t>
      </w:r>
      <w:r w:rsidR="00681685" w:rsidRPr="00051E9F">
        <w:rPr>
          <w:rFonts w:ascii="PT Astra Serif" w:hAnsi="PT Astra Serif"/>
          <w:sz w:val="28"/>
          <w:szCs w:val="28"/>
        </w:rPr>
        <w:t>9 часов 00</w:t>
      </w:r>
      <w:r w:rsidRPr="00051E9F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051E9F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051E9F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051E9F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051E9F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051E9F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051E9F">
        <w:rPr>
          <w:rFonts w:ascii="PT Astra Serif" w:hAnsi="PT Astra Serif"/>
          <w:b/>
          <w:sz w:val="28"/>
          <w:szCs w:val="28"/>
        </w:rPr>
        <w:t xml:space="preserve">» </w:t>
      </w:r>
      <w:r w:rsidRPr="00051E9F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629F09E7" w:rsidR="008C7CAF" w:rsidRPr="00051E9F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051E9F">
        <w:rPr>
          <w:rFonts w:ascii="PT Astra Serif" w:hAnsi="PT Astra Serif"/>
          <w:sz w:val="28"/>
          <w:szCs w:val="28"/>
        </w:rPr>
        <w:t>1.9. Дата</w:t>
      </w:r>
      <w:r w:rsidR="00A2761C" w:rsidRPr="00051E9F">
        <w:rPr>
          <w:rFonts w:ascii="PT Astra Serif" w:hAnsi="PT Astra Serif"/>
          <w:sz w:val="28"/>
          <w:szCs w:val="28"/>
        </w:rPr>
        <w:t xml:space="preserve"> определения участников торгов</w:t>
      </w:r>
      <w:r w:rsidRPr="00051E9F">
        <w:rPr>
          <w:rFonts w:ascii="PT Astra Serif" w:hAnsi="PT Astra Serif"/>
          <w:sz w:val="28"/>
          <w:szCs w:val="28"/>
        </w:rPr>
        <w:t xml:space="preserve"> в электронной форме – </w:t>
      </w:r>
      <w:r w:rsidR="00BB6BEB">
        <w:rPr>
          <w:rFonts w:ascii="PT Astra Serif" w:hAnsi="PT Astra Serif"/>
          <w:sz w:val="28"/>
          <w:szCs w:val="28"/>
        </w:rPr>
        <w:t>26</w:t>
      </w:r>
      <w:r w:rsidRPr="00051E9F">
        <w:rPr>
          <w:rFonts w:ascii="PT Astra Serif" w:hAnsi="PT Astra Serif"/>
          <w:sz w:val="28"/>
          <w:szCs w:val="28"/>
        </w:rPr>
        <w:t>.</w:t>
      </w:r>
      <w:r w:rsidR="00AB36BE">
        <w:rPr>
          <w:rFonts w:ascii="PT Astra Serif" w:hAnsi="PT Astra Serif"/>
          <w:sz w:val="28"/>
          <w:szCs w:val="28"/>
        </w:rPr>
        <w:t>1</w:t>
      </w:r>
      <w:r w:rsidR="00BB6BEB">
        <w:rPr>
          <w:rFonts w:ascii="PT Astra Serif" w:hAnsi="PT Astra Serif"/>
          <w:sz w:val="28"/>
          <w:szCs w:val="28"/>
        </w:rPr>
        <w:t>2</w:t>
      </w:r>
      <w:r w:rsidRPr="00051E9F">
        <w:rPr>
          <w:rFonts w:ascii="PT Astra Serif" w:hAnsi="PT Astra Serif"/>
          <w:sz w:val="28"/>
          <w:szCs w:val="28"/>
        </w:rPr>
        <w:t>.20</w:t>
      </w:r>
      <w:r w:rsidR="00AB36BE">
        <w:rPr>
          <w:rFonts w:ascii="PT Astra Serif" w:hAnsi="PT Astra Serif"/>
          <w:sz w:val="28"/>
          <w:szCs w:val="28"/>
        </w:rPr>
        <w:t>22</w:t>
      </w:r>
      <w:r w:rsidR="004359DE" w:rsidRPr="00051E9F">
        <w:rPr>
          <w:rFonts w:ascii="PT Astra Serif" w:hAnsi="PT Astra Serif"/>
          <w:sz w:val="28"/>
          <w:szCs w:val="28"/>
        </w:rPr>
        <w:t>г.</w:t>
      </w:r>
      <w:r w:rsidR="00BD1277" w:rsidRPr="00051E9F">
        <w:rPr>
          <w:rFonts w:ascii="PT Astra Serif" w:hAnsi="PT Astra Serif"/>
          <w:sz w:val="28"/>
          <w:szCs w:val="28"/>
        </w:rPr>
        <w:t xml:space="preserve"> </w:t>
      </w:r>
      <w:r w:rsidR="00C7244B" w:rsidRPr="00051E9F">
        <w:rPr>
          <w:rFonts w:ascii="PT Astra Serif" w:hAnsi="PT Astra Serif"/>
          <w:sz w:val="28"/>
          <w:szCs w:val="28"/>
        </w:rPr>
        <w:t xml:space="preserve">в </w:t>
      </w:r>
      <w:r w:rsidR="00E0272E" w:rsidRPr="00051E9F">
        <w:rPr>
          <w:rFonts w:ascii="PT Astra Serif" w:hAnsi="PT Astra Serif"/>
          <w:sz w:val="28"/>
          <w:szCs w:val="28"/>
        </w:rPr>
        <w:t>11</w:t>
      </w:r>
      <w:r w:rsidRPr="00051E9F">
        <w:rPr>
          <w:rFonts w:ascii="PT Astra Serif" w:hAnsi="PT Astra Serif"/>
          <w:sz w:val="28"/>
          <w:szCs w:val="28"/>
        </w:rPr>
        <w:t xml:space="preserve"> часов 00 минут (по московскому времени).</w:t>
      </w:r>
    </w:p>
    <w:p w14:paraId="0CB6E42A" w14:textId="16ADBF9A" w:rsidR="008C7CAF" w:rsidRPr="00051E9F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051E9F">
        <w:rPr>
          <w:rFonts w:ascii="PT Astra Serif" w:hAnsi="PT Astra Serif"/>
          <w:sz w:val="28"/>
          <w:szCs w:val="28"/>
        </w:rPr>
        <w:tab/>
        <w:t xml:space="preserve">1.10. Дата, время и </w:t>
      </w:r>
      <w:r w:rsidR="00A2761C" w:rsidRPr="00051E9F">
        <w:rPr>
          <w:rFonts w:ascii="PT Astra Serif" w:hAnsi="PT Astra Serif"/>
          <w:sz w:val="28"/>
          <w:szCs w:val="28"/>
        </w:rPr>
        <w:t>место подведения итогов торгов</w:t>
      </w:r>
      <w:r w:rsidRPr="00051E9F">
        <w:rPr>
          <w:rFonts w:ascii="PT Astra Serif" w:hAnsi="PT Astra Serif"/>
          <w:sz w:val="28"/>
          <w:szCs w:val="28"/>
        </w:rPr>
        <w:t xml:space="preserve"> </w:t>
      </w:r>
      <w:r w:rsidR="00500B06" w:rsidRPr="00051E9F">
        <w:rPr>
          <w:rFonts w:ascii="PT Astra Serif" w:hAnsi="PT Astra Serif"/>
          <w:sz w:val="28"/>
          <w:szCs w:val="28"/>
        </w:rPr>
        <w:t xml:space="preserve">посредством публичного предложения </w:t>
      </w:r>
      <w:r w:rsidRPr="00051E9F">
        <w:rPr>
          <w:rFonts w:ascii="PT Astra Serif" w:hAnsi="PT Astra Serif"/>
          <w:sz w:val="28"/>
          <w:szCs w:val="28"/>
        </w:rPr>
        <w:t>в электронной</w:t>
      </w:r>
      <w:r w:rsidR="00A2761C" w:rsidRPr="00051E9F">
        <w:rPr>
          <w:rFonts w:ascii="PT Astra Serif" w:hAnsi="PT Astra Serif"/>
          <w:sz w:val="28"/>
          <w:szCs w:val="28"/>
        </w:rPr>
        <w:t xml:space="preserve"> форме </w:t>
      </w:r>
      <w:r w:rsidR="00FE0D1C" w:rsidRPr="00051E9F">
        <w:rPr>
          <w:rFonts w:ascii="PT Astra Serif" w:hAnsi="PT Astra Serif"/>
          <w:sz w:val="28"/>
          <w:szCs w:val="28"/>
        </w:rPr>
        <w:t>-</w:t>
      </w:r>
      <w:r w:rsidRPr="00051E9F">
        <w:rPr>
          <w:rFonts w:ascii="PT Astra Serif" w:hAnsi="PT Astra Serif"/>
          <w:sz w:val="28"/>
          <w:szCs w:val="28"/>
        </w:rPr>
        <w:t xml:space="preserve"> </w:t>
      </w:r>
      <w:r w:rsidR="00BB6BEB">
        <w:rPr>
          <w:rFonts w:ascii="PT Astra Serif" w:hAnsi="PT Astra Serif"/>
          <w:sz w:val="28"/>
          <w:szCs w:val="28"/>
        </w:rPr>
        <w:t>28</w:t>
      </w:r>
      <w:r w:rsidRPr="00051E9F">
        <w:rPr>
          <w:rFonts w:ascii="PT Astra Serif" w:hAnsi="PT Astra Serif"/>
          <w:sz w:val="28"/>
          <w:szCs w:val="28"/>
        </w:rPr>
        <w:t>.</w:t>
      </w:r>
      <w:r w:rsidR="00BB6BEB">
        <w:rPr>
          <w:rFonts w:ascii="PT Astra Serif" w:hAnsi="PT Astra Serif"/>
          <w:sz w:val="28"/>
          <w:szCs w:val="28"/>
        </w:rPr>
        <w:t>12</w:t>
      </w:r>
      <w:r w:rsidRPr="00051E9F">
        <w:rPr>
          <w:rFonts w:ascii="PT Astra Serif" w:hAnsi="PT Astra Serif"/>
          <w:sz w:val="28"/>
          <w:szCs w:val="28"/>
        </w:rPr>
        <w:t>.20</w:t>
      </w:r>
      <w:r w:rsidR="00AB36BE">
        <w:rPr>
          <w:rFonts w:ascii="PT Astra Serif" w:hAnsi="PT Astra Serif"/>
          <w:sz w:val="28"/>
          <w:szCs w:val="28"/>
        </w:rPr>
        <w:t>22</w:t>
      </w:r>
      <w:r w:rsidR="004359DE" w:rsidRPr="00051E9F">
        <w:rPr>
          <w:rFonts w:ascii="PT Astra Serif" w:hAnsi="PT Astra Serif"/>
          <w:sz w:val="28"/>
          <w:szCs w:val="28"/>
        </w:rPr>
        <w:t>г.</w:t>
      </w:r>
      <w:r w:rsidRPr="00051E9F">
        <w:rPr>
          <w:rFonts w:ascii="PT Astra Serif" w:hAnsi="PT Astra Serif"/>
          <w:sz w:val="28"/>
          <w:szCs w:val="28"/>
        </w:rPr>
        <w:t xml:space="preserve"> в </w:t>
      </w:r>
      <w:r w:rsidR="00750D27" w:rsidRPr="00051E9F">
        <w:rPr>
          <w:rFonts w:ascii="PT Astra Serif" w:hAnsi="PT Astra Serif"/>
          <w:sz w:val="28"/>
          <w:szCs w:val="28"/>
        </w:rPr>
        <w:t>11</w:t>
      </w:r>
      <w:r w:rsidR="00210F7F" w:rsidRPr="00051E9F">
        <w:rPr>
          <w:rFonts w:ascii="PT Astra Serif" w:hAnsi="PT Astra Serif"/>
          <w:sz w:val="28"/>
          <w:szCs w:val="28"/>
        </w:rPr>
        <w:t xml:space="preserve"> часов 3</w:t>
      </w:r>
      <w:r w:rsidRPr="00051E9F">
        <w:rPr>
          <w:rFonts w:ascii="PT Astra Serif" w:hAnsi="PT Astra Serif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051E9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051E9F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5E4C4922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42BF5" w:rsidRPr="00E42BF5">
        <w:t xml:space="preserve"> </w:t>
      </w:r>
      <w:r w:rsidR="00E42BF5" w:rsidRPr="00E42BF5">
        <w:rPr>
          <w:rFonts w:ascii="Times New Roman" w:eastAsia="Calibri" w:hAnsi="Times New Roman" w:cs="Times New Roman"/>
          <w:sz w:val="28"/>
          <w:szCs w:val="28"/>
        </w:rPr>
        <w:t>Нежилое здание литер «А» площадью 299.5 кв.м., кадастровый номер 15:04:0060145:24, (количество этажей 1, в том числе подземных 0), расположенный по адресу: РФ, Республика Северная Осетия-Алания, Ирафский район, с. Чикола, ул. А. Макоева д. 33 «В», с земельным участком площадью 1279 кв.м. кадастровый номер 15:04:0060144:142, категория земель-земли населенных пунктов, вид разрешенного использования-общественное управление, расположенный по адресу: РФ, Республика Северная Осетия-Алания, Ирафский район, с. Ч</w:t>
      </w:r>
      <w:r w:rsidR="00E42BF5">
        <w:rPr>
          <w:rFonts w:ascii="Times New Roman" w:eastAsia="Calibri" w:hAnsi="Times New Roman" w:cs="Times New Roman"/>
          <w:sz w:val="28"/>
          <w:szCs w:val="28"/>
        </w:rPr>
        <w:t>икола, ул. А. Макоева д. 33 «В»</w:t>
      </w:r>
      <w:r w:rsidR="00052F2F" w:rsidRPr="00052F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849F3" w14:textId="258E8DB7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11A59CFD" w14:textId="77777777" w:rsidR="00860DA0" w:rsidRDefault="00AB20E2" w:rsidP="0086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</w:t>
      </w:r>
      <w:r w:rsidRPr="007B4DA3">
        <w:rPr>
          <w:rFonts w:ascii="Times New Roman" w:hAnsi="Times New Roman" w:cs="Times New Roman"/>
          <w:sz w:val="28"/>
          <w:szCs w:val="28"/>
        </w:rPr>
        <w:t>в течение года, предшествующего его продаже, и об итогах торгов по продаже такого и</w:t>
      </w:r>
      <w:r w:rsidR="001040EC" w:rsidRPr="007B4DA3">
        <w:rPr>
          <w:rFonts w:ascii="Times New Roman" w:hAnsi="Times New Roman" w:cs="Times New Roman"/>
          <w:sz w:val="28"/>
          <w:szCs w:val="28"/>
        </w:rPr>
        <w:t>м</w:t>
      </w:r>
      <w:r w:rsidR="007B4DA3">
        <w:rPr>
          <w:rFonts w:ascii="Times New Roman" w:hAnsi="Times New Roman" w:cs="Times New Roman"/>
          <w:sz w:val="28"/>
          <w:szCs w:val="28"/>
        </w:rPr>
        <w:t>ущества:</w:t>
      </w:r>
    </w:p>
    <w:p w14:paraId="44157386" w14:textId="71743DA0" w:rsidR="00860DA0" w:rsidRDefault="007B4DA3" w:rsidP="00860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784737">
        <w:rPr>
          <w:rFonts w:ascii="Times New Roman" w:hAnsi="Times New Roman" w:cs="Times New Roman"/>
          <w:sz w:val="28"/>
          <w:szCs w:val="28"/>
        </w:rPr>
        <w:t xml:space="preserve"> подведения итогов процедуры</w:t>
      </w:r>
      <w:r w:rsidR="00860DA0">
        <w:rPr>
          <w:rFonts w:ascii="Times New Roman" w:hAnsi="Times New Roman" w:cs="Times New Roman"/>
          <w:sz w:val="28"/>
          <w:szCs w:val="28"/>
        </w:rPr>
        <w:t xml:space="preserve"> </w:t>
      </w:r>
      <w:r w:rsidR="00E42BF5" w:rsidRPr="00E42BF5">
        <w:rPr>
          <w:rFonts w:ascii="Times New Roman" w:hAnsi="Times New Roman" w:cs="Times New Roman"/>
          <w:sz w:val="28"/>
          <w:szCs w:val="28"/>
        </w:rPr>
        <w:t>21000033610000000001</w:t>
      </w:r>
      <w:r w:rsidR="00E42BF5">
        <w:rPr>
          <w:rFonts w:ascii="Times New Roman" w:hAnsi="Times New Roman" w:cs="Times New Roman"/>
          <w:sz w:val="28"/>
          <w:szCs w:val="28"/>
        </w:rPr>
        <w:t xml:space="preserve"> от 01.09.2022 </w:t>
      </w:r>
      <w:r w:rsidR="001040EC" w:rsidRPr="007B4DA3">
        <w:rPr>
          <w:rFonts w:ascii="Times New Roman" w:hAnsi="Times New Roman" w:cs="Times New Roman"/>
          <w:sz w:val="28"/>
          <w:szCs w:val="28"/>
        </w:rPr>
        <w:t xml:space="preserve">г. </w:t>
      </w:r>
      <w:r w:rsidR="00B10BAA" w:rsidRPr="007B4DA3">
        <w:rPr>
          <w:rFonts w:ascii="Times New Roman" w:hAnsi="Times New Roman" w:cs="Times New Roman"/>
          <w:sz w:val="28"/>
          <w:szCs w:val="28"/>
        </w:rPr>
        <w:t>признан несостоявшим</w:t>
      </w:r>
      <w:r w:rsidR="00AB20E2" w:rsidRPr="007B4DA3">
        <w:rPr>
          <w:rFonts w:ascii="Times New Roman" w:hAnsi="Times New Roman" w:cs="Times New Roman"/>
          <w:sz w:val="28"/>
          <w:szCs w:val="28"/>
        </w:rPr>
        <w:t>ся, так как до окончания приема заявок не было по</w:t>
      </w:r>
      <w:r w:rsidR="00860DA0">
        <w:rPr>
          <w:rFonts w:ascii="Times New Roman" w:hAnsi="Times New Roman" w:cs="Times New Roman"/>
          <w:sz w:val="28"/>
          <w:szCs w:val="28"/>
        </w:rPr>
        <w:t>дано ни одной заявки на участие;</w:t>
      </w:r>
    </w:p>
    <w:p w14:paraId="1F63E969" w14:textId="268D110F" w:rsidR="00207D76" w:rsidRPr="00860DA0" w:rsidRDefault="00207D76" w:rsidP="00860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60DA0"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п</w:t>
      </w:r>
      <w:r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ротокол</w:t>
      </w:r>
      <w:r w:rsidR="00860DA0"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</w:t>
      </w:r>
      <w:r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одведения итогов процедуры</w:t>
      </w:r>
      <w:r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21000033610000000002 от 15.11.2022 признан несостоявшимся,</w:t>
      </w:r>
      <w:r w:rsidRPr="00860DA0">
        <w:rPr>
          <w:sz w:val="28"/>
          <w:szCs w:val="28"/>
        </w:rPr>
        <w:t xml:space="preserve"> </w:t>
      </w:r>
      <w:r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до окончания приема заявок не было подано ни одной заявки на участие</w:t>
      </w:r>
      <w:r w:rsidR="00860DA0" w:rsidRPr="008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DF72F4" w14:textId="5850D48B" w:rsidR="00AB20E2" w:rsidRDefault="00AB20E2" w:rsidP="00860DA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FF6C2BF" w14:textId="2899E298" w:rsidR="00860DA0" w:rsidRDefault="00860DA0" w:rsidP="00860DA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296A674" w14:textId="587C83AF" w:rsidR="00860DA0" w:rsidRDefault="00860DA0" w:rsidP="00860DA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BD4BEB8" w14:textId="6BA57321" w:rsidR="00860DA0" w:rsidRDefault="00860DA0" w:rsidP="00860DA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3EB478" w14:textId="77777777" w:rsidR="00860DA0" w:rsidRPr="00F903D8" w:rsidRDefault="00860DA0" w:rsidP="00860D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8ED09E" w14:textId="6240ECC5" w:rsidR="004E5764" w:rsidRPr="00E04212" w:rsidRDefault="00DA0094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="00930C3D"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66BC5610" w14:textId="623E84FE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499"/>
        <w:gridCol w:w="1701"/>
        <w:gridCol w:w="1628"/>
        <w:gridCol w:w="1701"/>
        <w:gridCol w:w="1701"/>
        <w:gridCol w:w="1633"/>
      </w:tblGrid>
      <w:tr w:rsidR="00A2761C" w:rsidRPr="001404CE" w14:paraId="0AA947D1" w14:textId="77777777" w:rsidTr="00A2761C">
        <w:trPr>
          <w:trHeight w:val="6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CB2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793" w14:textId="77777777" w:rsidR="00A2761C" w:rsidRPr="001404CE" w:rsidRDefault="00A2761C" w:rsidP="00A2761C">
            <w:pPr>
              <w:spacing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AA4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14:paraId="4DCE1DCF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04CE">
              <w:rPr>
                <w:rFonts w:ascii="Times New Roman" w:hAnsi="Times New Roman"/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  <w:p w14:paraId="775A7A51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  <w:p w14:paraId="651379BF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C33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Сумма задатка</w:t>
            </w:r>
          </w:p>
          <w:p w14:paraId="29394503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 размере 20% от начальной цены</w:t>
            </w:r>
          </w:p>
          <w:p w14:paraId="15195EAE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14:paraId="095203D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5A6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Величина снижения</w:t>
            </w:r>
          </w:p>
          <w:p w14:paraId="45332347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цены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перво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DD29B1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начального предложения («шаг понижения») (10% цены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первона-чального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F6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Величина повышения цены («шаг аукциона»)</w:t>
            </w:r>
          </w:p>
          <w:p w14:paraId="1B141609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14:paraId="6C9E152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(50% «шага» понижения»)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116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Минимальная цена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967EB7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(цена отсечения)</w:t>
            </w:r>
          </w:p>
          <w:p w14:paraId="07881564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2761C" w:rsidRPr="001404CE" w14:paraId="54A8C978" w14:textId="77777777" w:rsidTr="00A2761C">
        <w:trPr>
          <w:trHeight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0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74C" w14:textId="35E8200D" w:rsidR="00A2761C" w:rsidRPr="001404CE" w:rsidRDefault="00052F2F" w:rsidP="00A276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D0D" w14:textId="28D63F7B" w:rsidR="00A2761C" w:rsidRPr="001404CE" w:rsidRDefault="00E42BF5" w:rsidP="00052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1 796 880</w:t>
            </w:r>
            <w:r w:rsidR="00532CB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3D8" w14:textId="0F850F16" w:rsidR="00A2761C" w:rsidRPr="001404CE" w:rsidRDefault="00E42BF5" w:rsidP="00052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359376,0</w:t>
            </w:r>
            <w:r w:rsidR="00532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2C0" w14:textId="667D2B50" w:rsidR="00A2761C" w:rsidRPr="001404CE" w:rsidRDefault="00E42BF5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179688</w:t>
            </w:r>
            <w:r w:rsidR="00E0421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56C" w14:textId="7D2834F1" w:rsidR="00A2761C" w:rsidRPr="001404CE" w:rsidRDefault="00E42BF5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89844,00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BDF" w14:textId="5E87FCC3" w:rsidR="00A2761C" w:rsidRPr="001404CE" w:rsidRDefault="00E42BF5" w:rsidP="00A2761C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898440,0</w:t>
            </w:r>
            <w:r w:rsidR="00532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380F4AB" w14:textId="3B1666E8" w:rsidR="00A2761C" w:rsidRDefault="00A2761C" w:rsidP="00E0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B6BDBBC" w14:textId="77777777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3107ECE8" w:rsidR="00EB5135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r w:rsid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ена </w:t>
      </w:r>
      <w:r w:rsidR="00E03DD1" w:rsidRP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первоначального предложения</w:t>
      </w:r>
      <w:r w:rsid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</w:t>
      </w:r>
      <w:r w:rsidR="007B3826" w:rsidRPr="007B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08.08.2022г. № 22/117</w:t>
      </w:r>
      <w:r w:rsidR="00532CB9" w:rsidRPr="007B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32CB9" w:rsidRP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 – </w:t>
      </w:r>
      <w:r w:rsidR="00E42BF5" w:rsidRPr="00E4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1 796 880 руб. 00 коп. (один миллион семьсот девяносто шесть тысяч восемьсот восемьдесят) рублей 00 копеек</w:t>
      </w:r>
      <w:r w:rsidR="009F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E9EB41" w14:textId="0D26493A" w:rsidR="00E35343" w:rsidRDefault="00E35343" w:rsidP="00E353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Величина снижения цены перво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предложения («ша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понижения») (10% цены первона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чального предложения)</w:t>
      </w:r>
      <w:r w:rsidR="00A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E09D9" w:rsidRP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179688 руб. 00 коп. (сто семьдесят девять тысяч шестьсот восемьдесят восемь) рублей 00 копеек</w:t>
      </w:r>
      <w:r w:rsid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DAD636" w14:textId="1BB7B6E8" w:rsidR="00532CB9" w:rsidRPr="00AF7A7B" w:rsidRDefault="00E35343" w:rsidP="009322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цены («шаг аукцио</w:t>
      </w:r>
      <w:r w:rsid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D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50% «шага» понижения» -</w:t>
      </w:r>
      <w:r w:rsidR="00EE09D9" w:rsidRP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89844 руб. 00 коп. (восемьдесят девять тысяч восемьсот сорок четыре) рублей 00 копеек</w:t>
      </w:r>
      <w:r w:rsidR="0093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8190E" w14:textId="75A0D48D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9D9" w:rsidRP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359376 руб.00коп. (триста пятьдесят девять тысяч триста семьдесят шесть) рублей 00 копеек</w:t>
      </w:r>
      <w:r w:rsid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EBE3EE" w14:textId="48CC44CC" w:rsidR="00EB5135" w:rsidRPr="00AF7A7B" w:rsidRDefault="006709FA" w:rsidP="00BD49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</w:t>
      </w:r>
      <w:r w:rsid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 предло</w:t>
      </w:r>
      <w:r w:rsidR="00BD49A7" w:rsidRP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(цена отсечения)</w:t>
      </w:r>
      <w:r w:rsid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9D9" w:rsidRPr="00EE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898440 руб.00коп. (восемьсот девяносто восемь тысяч четыреста сорок) рубль 00 копеек</w:t>
      </w:r>
      <w:r w:rsidR="009F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75A413" w14:textId="77EC84DD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065548F5" w:rsidR="00DA0094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10DC9EEC" w14:textId="0E6F6918" w:rsidR="006E5517" w:rsidRPr="006E5517" w:rsidRDefault="006E5517" w:rsidP="006E5517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6E5517"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РФ от 27 августа 2012 г. № 860 "Об организации и проведении продажи государственного или муниципального имущества в электронной форме", процедура</w:t>
      </w:r>
      <w:r w:rsidR="009D3000">
        <w:rPr>
          <w:rFonts w:ascii="PT Astra Serif" w:hAnsi="PT Astra Serif" w:cs="Times New Roman"/>
          <w:sz w:val="28"/>
          <w:szCs w:val="28"/>
        </w:rPr>
        <w:t xml:space="preserve"> электронных торгов посредством </w:t>
      </w:r>
      <w:r w:rsidRPr="006E5517">
        <w:rPr>
          <w:rFonts w:ascii="PT Astra Serif" w:hAnsi="PT Astra Serif" w:cs="Times New Roman"/>
          <w:sz w:val="28"/>
          <w:szCs w:val="28"/>
        </w:rPr>
        <w:t>публичного предложения проводится на электронной торговой площадке АО «Единая электронная торговая площадка».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33963201" w:rsidR="00DA0094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24092D34" w14:textId="77777777" w:rsidR="00B1566C" w:rsidRPr="00E24A2B" w:rsidRDefault="00B1566C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22A5015B" w:rsidR="003136CB" w:rsidRPr="00051E9F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051E9F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051E9F">
        <w:rPr>
          <w:rFonts w:ascii="Times New Roman" w:hAnsi="Times New Roman"/>
          <w:sz w:val="28"/>
          <w:szCs w:val="28"/>
        </w:rPr>
        <w:t>ежедневно</w:t>
      </w:r>
      <w:r w:rsidR="00D1210E" w:rsidRPr="00051E9F">
        <w:rPr>
          <w:rFonts w:ascii="Times New Roman" w:hAnsi="Times New Roman"/>
          <w:sz w:val="28"/>
          <w:szCs w:val="28"/>
        </w:rPr>
        <w:t xml:space="preserve"> </w:t>
      </w:r>
      <w:r w:rsidR="0077190A" w:rsidRPr="00051E9F">
        <w:rPr>
          <w:rFonts w:ascii="Times New Roman" w:hAnsi="Times New Roman"/>
          <w:sz w:val="28"/>
          <w:szCs w:val="28"/>
        </w:rPr>
        <w:t xml:space="preserve">с </w:t>
      </w:r>
      <w:r w:rsidR="00A1434D">
        <w:rPr>
          <w:rFonts w:ascii="Times New Roman" w:hAnsi="Times New Roman"/>
          <w:sz w:val="28"/>
          <w:szCs w:val="28"/>
        </w:rPr>
        <w:t>24</w:t>
      </w:r>
      <w:r w:rsidR="004C37C2">
        <w:rPr>
          <w:rFonts w:ascii="Times New Roman" w:hAnsi="Times New Roman"/>
          <w:sz w:val="28"/>
          <w:szCs w:val="28"/>
        </w:rPr>
        <w:t>.1</w:t>
      </w:r>
      <w:r w:rsidR="00A1434D">
        <w:rPr>
          <w:rFonts w:ascii="Times New Roman" w:hAnsi="Times New Roman"/>
          <w:sz w:val="28"/>
          <w:szCs w:val="28"/>
        </w:rPr>
        <w:t>1</w:t>
      </w:r>
      <w:r w:rsidR="004C37C2">
        <w:rPr>
          <w:rFonts w:ascii="Times New Roman" w:hAnsi="Times New Roman"/>
          <w:sz w:val="28"/>
          <w:szCs w:val="28"/>
        </w:rPr>
        <w:t>.2022</w:t>
      </w:r>
      <w:r w:rsidR="00D57096" w:rsidRPr="00051E9F">
        <w:rPr>
          <w:rFonts w:ascii="Times New Roman" w:hAnsi="Times New Roman"/>
          <w:sz w:val="28"/>
          <w:szCs w:val="28"/>
        </w:rPr>
        <w:t>г.</w:t>
      </w:r>
      <w:r w:rsidRPr="00051E9F">
        <w:rPr>
          <w:rFonts w:ascii="Times New Roman" w:hAnsi="Times New Roman"/>
          <w:sz w:val="28"/>
          <w:szCs w:val="28"/>
        </w:rPr>
        <w:t xml:space="preserve"> по </w:t>
      </w:r>
      <w:r w:rsidR="00A1434D">
        <w:rPr>
          <w:rFonts w:ascii="Times New Roman" w:hAnsi="Times New Roman"/>
          <w:sz w:val="28"/>
          <w:szCs w:val="28"/>
        </w:rPr>
        <w:t>21</w:t>
      </w:r>
      <w:r w:rsidR="004C37C2">
        <w:rPr>
          <w:rFonts w:ascii="Times New Roman" w:hAnsi="Times New Roman"/>
          <w:sz w:val="28"/>
          <w:szCs w:val="28"/>
        </w:rPr>
        <w:t>.1</w:t>
      </w:r>
      <w:r w:rsidR="00A1434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241420" w:rsidRPr="00051E9F">
        <w:rPr>
          <w:rFonts w:ascii="Times New Roman" w:hAnsi="Times New Roman"/>
          <w:sz w:val="28"/>
          <w:szCs w:val="28"/>
        </w:rPr>
        <w:t>.2</w:t>
      </w:r>
      <w:r w:rsidR="004C37C2">
        <w:rPr>
          <w:rFonts w:ascii="Times New Roman" w:hAnsi="Times New Roman"/>
          <w:sz w:val="28"/>
          <w:szCs w:val="28"/>
        </w:rPr>
        <w:t>022</w:t>
      </w:r>
      <w:r w:rsidR="007D0E05" w:rsidRPr="00051E9F">
        <w:rPr>
          <w:rFonts w:ascii="Times New Roman" w:hAnsi="Times New Roman"/>
          <w:sz w:val="28"/>
          <w:szCs w:val="28"/>
        </w:rPr>
        <w:t xml:space="preserve"> с 10 часов 00 минут до 16 </w:t>
      </w:r>
      <w:r w:rsidR="002E75BD" w:rsidRPr="00051E9F">
        <w:rPr>
          <w:rFonts w:ascii="Times New Roman" w:hAnsi="Times New Roman"/>
          <w:sz w:val="28"/>
          <w:szCs w:val="28"/>
        </w:rPr>
        <w:t>часов 00</w:t>
      </w:r>
      <w:r w:rsidR="007D0E05" w:rsidRPr="00051E9F">
        <w:rPr>
          <w:rFonts w:ascii="Times New Roman" w:hAnsi="Times New Roman"/>
          <w:sz w:val="28"/>
          <w:szCs w:val="28"/>
        </w:rPr>
        <w:t xml:space="preserve"> </w:t>
      </w:r>
      <w:r w:rsidR="002E75BD" w:rsidRPr="00051E9F">
        <w:rPr>
          <w:rFonts w:ascii="Times New Roman" w:hAnsi="Times New Roman"/>
          <w:sz w:val="28"/>
          <w:szCs w:val="28"/>
        </w:rPr>
        <w:t>минут</w:t>
      </w:r>
      <w:r w:rsidR="007D0E05" w:rsidRPr="00051E9F">
        <w:rPr>
          <w:rFonts w:ascii="Times New Roman" w:hAnsi="Times New Roman"/>
          <w:sz w:val="28"/>
          <w:szCs w:val="28"/>
        </w:rPr>
        <w:t>,</w:t>
      </w:r>
      <w:r w:rsidR="00D446DC" w:rsidRPr="00051E9F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051E9F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051E9F">
        <w:rPr>
          <w:rFonts w:ascii="Times New Roman" w:hAnsi="Times New Roman"/>
          <w:sz w:val="28"/>
          <w:szCs w:val="28"/>
        </w:rPr>
        <w:t>у технического состояния помещений</w:t>
      </w:r>
      <w:r w:rsidRPr="00051E9F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3FB767EA" w:rsidR="00DA0094" w:rsidRPr="00E24A2B" w:rsidRDefault="00CD1C30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 момента </w:t>
      </w:r>
      <w:r w:rsidRPr="00CD1C30">
        <w:rPr>
          <w:rFonts w:ascii="PT Astra Serif" w:hAnsi="PT Astra Serif"/>
          <w:sz w:val="28"/>
          <w:szCs w:val="28"/>
        </w:rPr>
        <w:t>продажа муниципального имущества посредством публичного предложения в электронной форме</w:t>
      </w:r>
      <w:r w:rsidR="00DA0094" w:rsidRPr="00E24A2B">
        <w:rPr>
          <w:rFonts w:ascii="PT Astra Serif" w:hAnsi="PT Astra Serif"/>
          <w:sz w:val="28"/>
          <w:szCs w:val="28"/>
        </w:rPr>
        <w:t xml:space="preserve">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="00DA0094"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</w:t>
      </w:r>
      <w:r w:rsidR="00BE1106" w:rsidRPr="00BE1106">
        <w:t xml:space="preserve"> </w:t>
      </w:r>
      <w:r w:rsidR="00BE1106" w:rsidRPr="00BE1106">
        <w:rPr>
          <w:rFonts w:ascii="PT Astra Serif" w:hAnsi="PT Astra Serif"/>
          <w:sz w:val="28"/>
          <w:szCs w:val="28"/>
        </w:rPr>
        <w:t>ИНН 7707704692, КПП 772501001, р/с 40702810510050001273 в Банк ВТБ (ПАО), к/с 301018</w:t>
      </w:r>
      <w:r w:rsidR="004914CF">
        <w:rPr>
          <w:rFonts w:ascii="PT Astra Serif" w:hAnsi="PT Astra Serif"/>
          <w:sz w:val="28"/>
          <w:szCs w:val="28"/>
        </w:rPr>
        <w:t>10145250000411, БИК 044525411</w:t>
      </w:r>
      <w:r w:rsidR="00BE1106">
        <w:rPr>
          <w:rFonts w:ascii="PT Astra Serif" w:hAnsi="PT Astra Serif"/>
          <w:sz w:val="28"/>
          <w:szCs w:val="28"/>
        </w:rPr>
        <w:t>)</w:t>
      </w:r>
      <w:r w:rsidR="00DA0094" w:rsidRPr="00E24A2B">
        <w:rPr>
          <w:rFonts w:ascii="PT Astra Serif" w:hAnsi="PT Astra Serif"/>
          <w:sz w:val="28"/>
          <w:szCs w:val="28"/>
        </w:rPr>
        <w:t>. Назначение платежа – з</w:t>
      </w:r>
      <w:r w:rsidR="006D57BF">
        <w:rPr>
          <w:rFonts w:ascii="PT Astra Serif" w:hAnsi="PT Astra Serif"/>
          <w:sz w:val="28"/>
          <w:szCs w:val="28"/>
        </w:rPr>
        <w:t>адаток для участия в электронных торгах</w:t>
      </w:r>
      <w:r w:rsidR="00DA0094" w:rsidRPr="00E24A2B">
        <w:rPr>
          <w:rFonts w:ascii="PT Astra Serif" w:hAnsi="PT Astra Serif"/>
          <w:sz w:val="28"/>
          <w:szCs w:val="28"/>
        </w:rPr>
        <w:t xml:space="preserve">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BE1106" w:rsidRPr="00BE1106">
        <w:t xml:space="preserve"> </w:t>
      </w:r>
      <w:r w:rsidR="00BE1106" w:rsidRPr="00BE1106">
        <w:rPr>
          <w:rFonts w:ascii="PT Astra Serif" w:hAnsi="PT Astra Serif"/>
          <w:sz w:val="28"/>
          <w:szCs w:val="28"/>
        </w:rPr>
        <w:t>Нежилое здание литер «А» площадью 299.5 кв.м., кадастровый номер 15:04:0060145:24, (количество этажей 1, в том числе подземных 0), расположенный по адресу: РФ, Республика Северная Осетия-Алания, Ирафский район, с. Чикола, ул. А. Макоева д. 33 «В», с земельным участком площадью 1279 кв.м. кадастровый номер 15:04:0060144:142, категория земель-земли населенных пунктов, вид разрешенного использования-общественное управление, расположенный по адресу: РФ, Республика Северная Осетия-Алания, Ирафский район, с. Ч</w:t>
      </w:r>
      <w:r w:rsidR="00BE1106">
        <w:rPr>
          <w:rFonts w:ascii="PT Astra Serif" w:hAnsi="PT Astra Serif"/>
          <w:sz w:val="28"/>
          <w:szCs w:val="28"/>
        </w:rPr>
        <w:t>икола, ул. А. Макоева д. 33 «В»</w:t>
      </w:r>
      <w:r w:rsidR="00A1434D">
        <w:rPr>
          <w:rFonts w:ascii="PT Astra Serif" w:hAnsi="PT Astra Serif"/>
          <w:sz w:val="28"/>
          <w:szCs w:val="28"/>
        </w:rPr>
        <w:t>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1AC23FB9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r w:rsidRPr="00E24A2B">
        <w:rPr>
          <w:rFonts w:ascii="PT Astra Serif" w:hAnsi="PT Astra Serif"/>
          <w:sz w:val="28"/>
          <w:szCs w:val="28"/>
        </w:rPr>
        <w:t>не</w:t>
      </w:r>
      <w:r w:rsidR="006D57B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исполненными</w:t>
      </w:r>
      <w:r w:rsidR="00C3386E">
        <w:rPr>
          <w:rFonts w:ascii="PT Astra Serif" w:hAnsi="PT Astra Serif"/>
          <w:sz w:val="28"/>
          <w:szCs w:val="28"/>
        </w:rPr>
        <w:t>,</w:t>
      </w:r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4B681B46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</w:t>
      </w:r>
      <w:r w:rsidR="00C3386E">
        <w:rPr>
          <w:rFonts w:ascii="PT Astra Serif" w:hAnsi="PT Astra Serif"/>
          <w:sz w:val="28"/>
          <w:szCs w:val="28"/>
        </w:rPr>
        <w:t xml:space="preserve"> заявки на участие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13A6AB34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 xml:space="preserve">Для участия </w:t>
      </w:r>
      <w:r w:rsidR="00C3386E">
        <w:rPr>
          <w:rFonts w:ascii="PT Astra Serif" w:hAnsi="PT Astra Serif"/>
          <w:sz w:val="28"/>
          <w:szCs w:val="28"/>
        </w:rPr>
        <w:t>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5DD9217A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</w:t>
      </w:r>
      <w:r w:rsidR="008128CA">
        <w:rPr>
          <w:rFonts w:ascii="PT Astra Serif" w:hAnsi="PT Astra Serif"/>
          <w:sz w:val="28"/>
          <w:szCs w:val="28"/>
        </w:rPr>
        <w:t>ми электронных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54F62534" w14:textId="3851F2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Претендент не допускается </w:t>
      </w:r>
      <w:r w:rsidR="008128CA">
        <w:rPr>
          <w:rFonts w:ascii="PT Astra Serif" w:hAnsi="PT Astra Serif"/>
          <w:sz w:val="28"/>
          <w:szCs w:val="28"/>
        </w:rPr>
        <w:t>к участию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1D80FC90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</w:t>
      </w:r>
      <w:r w:rsidR="008128CA">
        <w:rPr>
          <w:rFonts w:ascii="PT Astra Serif" w:hAnsi="PT Astra Serif"/>
          <w:sz w:val="28"/>
          <w:szCs w:val="28"/>
        </w:rPr>
        <w:t xml:space="preserve"> допущенный к участию в торгах</w:t>
      </w:r>
      <w:r w:rsidRPr="00E24A2B">
        <w:rPr>
          <w:rFonts w:ascii="PT Astra Serif" w:hAnsi="PT Astra Serif"/>
          <w:sz w:val="28"/>
          <w:szCs w:val="28"/>
        </w:rPr>
        <w:t>, приоб</w:t>
      </w:r>
      <w:r w:rsidR="008128CA">
        <w:rPr>
          <w:rFonts w:ascii="PT Astra Serif" w:hAnsi="PT Astra Serif"/>
          <w:sz w:val="28"/>
          <w:szCs w:val="28"/>
        </w:rPr>
        <w:t>ретает статус участника торгов</w:t>
      </w:r>
      <w:r w:rsidRPr="00E24A2B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</w:t>
      </w:r>
      <w:r w:rsidR="008128CA">
        <w:rPr>
          <w:rFonts w:ascii="PT Astra Serif" w:hAnsi="PT Astra Serif"/>
          <w:sz w:val="28"/>
          <w:szCs w:val="28"/>
        </w:rPr>
        <w:t>ретендентов участниками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7865D9DB" w14:textId="7774CE0B" w:rsidR="009E6633" w:rsidRPr="00E24A2B" w:rsidRDefault="009E6633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6633">
        <w:rPr>
          <w:rFonts w:ascii="PT Astra Serif" w:hAnsi="PT Astra Serif"/>
          <w:sz w:val="28"/>
          <w:szCs w:val="28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008123D" w14:textId="77777777" w:rsidR="00860DA0" w:rsidRDefault="00860DA0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A173676" w14:textId="77777777" w:rsidR="00860DA0" w:rsidRDefault="00860DA0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7A016024" w14:textId="50B064C8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5. Порядок проведения продажи</w:t>
      </w:r>
    </w:p>
    <w:p w14:paraId="56005185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444A35" w14:textId="46DB63DE" w:rsidR="008128CA" w:rsidRPr="008128CA" w:rsidRDefault="00275348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275348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275348">
        <w:rPr>
          <w:rFonts w:ascii="PT Astra Serif" w:hAnsi="PT Astra Serif"/>
          <w:sz w:val="28"/>
          <w:szCs w:val="28"/>
        </w:rPr>
        <w:t xml:space="preserve"> Правител</w:t>
      </w:r>
      <w:r>
        <w:rPr>
          <w:rFonts w:ascii="PT Astra Serif" w:hAnsi="PT Astra Serif"/>
          <w:sz w:val="28"/>
          <w:szCs w:val="28"/>
        </w:rPr>
        <w:t>ьства РФ от 27 августа 2012 г. №</w:t>
      </w:r>
      <w:r w:rsidRPr="00275348">
        <w:rPr>
          <w:rFonts w:ascii="PT Astra Serif" w:hAnsi="PT Astra Serif"/>
          <w:sz w:val="28"/>
          <w:szCs w:val="28"/>
        </w:rPr>
        <w:t xml:space="preserve"> 860 "Об организации и проведении продажи государственного или муниципального имущества в электронной форме"</w:t>
      </w:r>
      <w:r>
        <w:rPr>
          <w:rFonts w:ascii="PT Astra Serif" w:hAnsi="PT Astra Serif"/>
          <w:sz w:val="28"/>
          <w:szCs w:val="28"/>
        </w:rPr>
        <w:t>, п</w:t>
      </w:r>
      <w:r w:rsidR="008128CA" w:rsidRPr="008128CA">
        <w:rPr>
          <w:rFonts w:ascii="PT Astra Serif" w:hAnsi="PT Astra Serif"/>
          <w:sz w:val="28"/>
          <w:szCs w:val="28"/>
        </w:rPr>
        <w:t xml:space="preserve">роцедура электронных торгов посредством публичного предложения проводится на электронной торговой площадке АО «Единая электронная торговая площадка». </w:t>
      </w:r>
    </w:p>
    <w:p w14:paraId="07DFCCDE" w14:textId="5CA22E8A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</w:t>
      </w:r>
      <w:r w:rsidR="00A96B57">
        <w:rPr>
          <w:rFonts w:ascii="PT Astra Serif" w:hAnsi="PT Astra Serif"/>
          <w:sz w:val="28"/>
          <w:szCs w:val="28"/>
        </w:rPr>
        <w:t>мущества проводится в день и во</w:t>
      </w:r>
      <w:r w:rsidRPr="008128CA">
        <w:rPr>
          <w:rFonts w:ascii="PT Astra Serif" w:hAnsi="PT Astra Serif"/>
          <w:sz w:val="28"/>
          <w:szCs w:val="28"/>
        </w:rPr>
        <w:t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2FC30C8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C58E5B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7DF3330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75F9FBBE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«Проведение продажи имущества на аукционе» Положения, утвержденного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123BA4A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527910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29F37989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 w:rsidRPr="008128CA">
        <w:rPr>
          <w:rFonts w:ascii="PT Astra Serif" w:hAnsi="PT Astra Serif"/>
          <w:sz w:val="28"/>
          <w:szCs w:val="28"/>
        </w:rPr>
        <w:lastRenderedPageBreak/>
        <w:t>продажи имущества в режиме реального времени, подтверждения (не подтверждения) участниками предложения о цене имущества;</w:t>
      </w:r>
    </w:p>
    <w:p w14:paraId="7C8A34E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D1BEA8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3019690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EF9D16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0E3340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74F1786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04677F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14:paraId="1A7574E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цена сделки;</w:t>
      </w:r>
    </w:p>
    <w:p w14:paraId="2711CB6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14:paraId="70B43ACD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14:paraId="4D40C04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81C927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B2CE8E8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29DCD245" w14:textId="25B6CF5E" w:rsidR="00E050CE" w:rsidRDefault="008128CA" w:rsidP="00E050C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lastRenderedPageBreak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3BFC756E" w14:textId="42F6F3EB" w:rsidR="00E050CE" w:rsidRDefault="00E050CE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050CE">
        <w:rPr>
          <w:rFonts w:ascii="PT Astra Serif" w:hAnsi="PT Astra Serif"/>
          <w:sz w:val="28"/>
          <w:szCs w:val="28"/>
        </w:rPr>
        <w:t>Администрация местного самоуправления Ирафского района вправе о</w:t>
      </w:r>
      <w:r w:rsidR="00F219DF">
        <w:rPr>
          <w:rFonts w:ascii="PT Astra Serif" w:hAnsi="PT Astra Serif"/>
          <w:sz w:val="28"/>
          <w:szCs w:val="28"/>
        </w:rPr>
        <w:t>тказаться от проведения продажи</w:t>
      </w:r>
      <w:r w:rsidRPr="00E050CE">
        <w:rPr>
          <w:rFonts w:ascii="PT Astra Serif" w:hAnsi="PT Astra Serif"/>
          <w:sz w:val="28"/>
          <w:szCs w:val="28"/>
        </w:rPr>
        <w:t xml:space="preserve"> в любое время, но не позднее чем за три дня до наступления даты его проведения.</w:t>
      </w:r>
    </w:p>
    <w:p w14:paraId="72731366" w14:textId="77777777" w:rsidR="00E050CE" w:rsidRPr="00E24A2B" w:rsidRDefault="00E050CE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433F8A81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1B7977" w:rsidRPr="001B7977">
        <w:rPr>
          <w:rFonts w:ascii="PT Astra Serif" w:hAnsi="PT Astra Serif"/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>родавцом и Покупателем</w:t>
      </w:r>
      <w:r w:rsidR="00062661" w:rsidRPr="00062661">
        <w:t xml:space="preserve"> </w:t>
      </w:r>
      <w:r w:rsidR="00062661" w:rsidRPr="00062661">
        <w:rPr>
          <w:rFonts w:ascii="PT Astra Serif" w:hAnsi="PT Astra Serif"/>
          <w:sz w:val="28"/>
          <w:szCs w:val="28"/>
        </w:rPr>
        <w:t>в форме электронного документа</w:t>
      </w:r>
      <w:r w:rsidR="00054AD7" w:rsidRPr="00054AD7">
        <w:rPr>
          <w:rFonts w:ascii="PT Astra Serif" w:hAnsi="PT Astra Serif"/>
          <w:sz w:val="28"/>
          <w:szCs w:val="28"/>
        </w:rPr>
        <w:t>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76A3EEAF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</w:t>
      </w:r>
      <w:r w:rsidR="00BC35A1">
        <w:rPr>
          <w:rFonts w:ascii="PT Astra Serif" w:hAnsi="PT Astra Serif"/>
          <w:sz w:val="28"/>
          <w:szCs w:val="28"/>
        </w:rPr>
        <w:t xml:space="preserve">родажи муниципального имущества </w:t>
      </w:r>
      <w:r w:rsidR="00BC35A1" w:rsidRPr="00BC35A1">
        <w:rPr>
          <w:rFonts w:ascii="PT Astra Serif" w:hAnsi="PT Astra Serif"/>
          <w:sz w:val="28"/>
          <w:szCs w:val="28"/>
        </w:rPr>
        <w:t>результаты продажи имущества посредством публичного предложения</w:t>
      </w:r>
      <w:r w:rsidR="00BC35A1">
        <w:rPr>
          <w:rFonts w:ascii="PT Astra Serif" w:hAnsi="PT Astra Serif"/>
          <w:sz w:val="28"/>
          <w:szCs w:val="28"/>
        </w:rPr>
        <w:t xml:space="preserve"> </w:t>
      </w:r>
      <w:r w:rsidRPr="00F70058">
        <w:rPr>
          <w:rFonts w:ascii="PT Astra Serif" w:hAnsi="PT Astra Serif"/>
          <w:sz w:val="28"/>
          <w:szCs w:val="28"/>
        </w:rPr>
        <w:t>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31330F3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BC35A1">
        <w:rPr>
          <w:rFonts w:ascii="Times New Roman" w:hAnsi="Times New Roman"/>
          <w:sz w:val="28"/>
          <w:szCs w:val="28"/>
        </w:rPr>
        <w:t>торгов</w:t>
      </w:r>
      <w:r w:rsidRPr="00E24A2B">
        <w:rPr>
          <w:rFonts w:ascii="Times New Roman" w:hAnsi="Times New Roman"/>
          <w:sz w:val="28"/>
          <w:szCs w:val="28"/>
        </w:rPr>
        <w:t xml:space="preserve"> </w:t>
      </w:r>
      <w:r w:rsidR="00AB595D">
        <w:rPr>
          <w:rFonts w:ascii="Times New Roman" w:hAnsi="Times New Roman"/>
          <w:sz w:val="28"/>
          <w:szCs w:val="28"/>
        </w:rPr>
        <w:t xml:space="preserve">и в договоре купли продажи </w:t>
      </w:r>
      <w:r w:rsidRPr="00E24A2B">
        <w:rPr>
          <w:rFonts w:ascii="Times New Roman" w:hAnsi="Times New Roman"/>
          <w:sz w:val="28"/>
          <w:szCs w:val="28"/>
        </w:rPr>
        <w:t>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75E71CA1" w14:textId="1BF14D1D" w:rsidR="00872B89" w:rsidRPr="00872B89" w:rsidRDefault="00252A22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Получатель платежа: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="00872B89"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="00872B89" w:rsidRPr="00872B89">
        <w:rPr>
          <w:rFonts w:ascii="Times New Roman" w:hAnsi="Times New Roman"/>
          <w:sz w:val="28"/>
          <w:szCs w:val="28"/>
          <w:lang w:eastAsia="ru-RU"/>
        </w:rPr>
        <w:t>, ул. А. Макоева, д. 18. Почтовый адрес: :363500 РСО-Алания,</w:t>
      </w:r>
    </w:p>
    <w:p w14:paraId="3E424AE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,</w:t>
      </w:r>
    </w:p>
    <w:p w14:paraId="103FF72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00F9635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7A64E814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0C28418E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7F678E0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42C040D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64835416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1D3DB8BF" w14:textId="7688A9DA" w:rsidR="00872B89" w:rsidRPr="00872B89" w:rsidRDefault="00CF4CA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р/с </w:t>
      </w:r>
      <w:r w:rsidRPr="00CF4CA9">
        <w:rPr>
          <w:rFonts w:ascii="Times New Roman" w:hAnsi="Times New Roman"/>
          <w:sz w:val="28"/>
          <w:szCs w:val="28"/>
          <w:lang w:eastAsia="ru-RU"/>
        </w:rPr>
        <w:t>03100643000000011000</w:t>
      </w:r>
    </w:p>
    <w:p w14:paraId="63E5285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2677734A" w14:textId="6948765A" w:rsidR="00252A22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ОКТМО- 90620470</w:t>
      </w:r>
      <w:r w:rsidR="00F062F5" w:rsidRPr="00872B89">
        <w:t xml:space="preserve"> </w:t>
      </w:r>
    </w:p>
    <w:p w14:paraId="4F8EA909" w14:textId="3BEC4998" w:rsidR="00252A22" w:rsidRPr="00872B89" w:rsidRDefault="00235CAA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код бюджетной классификации 8301140205305</w:t>
      </w:r>
      <w:r w:rsidR="00252A22" w:rsidRPr="00872B89">
        <w:rPr>
          <w:rFonts w:ascii="Times New Roman" w:hAnsi="Times New Roman"/>
          <w:sz w:val="28"/>
          <w:szCs w:val="28"/>
          <w:lang w:eastAsia="ru-RU"/>
        </w:rPr>
        <w:t>0000410.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400A904D" w14:textId="77777777" w:rsidR="00BB6BEB" w:rsidRDefault="000B435F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</w:t>
      </w:r>
      <w:r w:rsidRPr="00051E9F">
        <w:rPr>
          <w:rFonts w:ascii="Times New Roman" w:hAnsi="Times New Roman" w:cs="Times New Roman"/>
          <w:sz w:val="28"/>
          <w:szCs w:val="28"/>
        </w:rPr>
        <w:t xml:space="preserve">имущества: </w:t>
      </w:r>
    </w:p>
    <w:p w14:paraId="53235A1C" w14:textId="31BD2393" w:rsidR="00DB140C" w:rsidRDefault="00FA19FF" w:rsidP="00BB6BE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9FF">
        <w:rPr>
          <w:rFonts w:ascii="Times New Roman" w:hAnsi="Times New Roman" w:cs="Times New Roman"/>
          <w:sz w:val="28"/>
          <w:szCs w:val="28"/>
        </w:rPr>
        <w:t>на основании протокола подведения итогов процедуры        21000033610000000001 от 01.09.2022 г. признан несостоявшимся, так как до окончания приема заявок не было подано ни одной заявки на участие</w:t>
      </w:r>
      <w:r w:rsidR="00BB6BEB">
        <w:rPr>
          <w:rFonts w:ascii="Times New Roman" w:hAnsi="Times New Roman" w:cs="Times New Roman"/>
          <w:sz w:val="28"/>
          <w:szCs w:val="28"/>
        </w:rPr>
        <w:t>;</w:t>
      </w:r>
    </w:p>
    <w:p w14:paraId="2D485FAD" w14:textId="61B4C4C6" w:rsidR="00BB6BEB" w:rsidRDefault="00BB6BEB" w:rsidP="00BB6BE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60DA0">
        <w:rPr>
          <w:rFonts w:ascii="Times New Roman" w:hAnsi="Times New Roman" w:cs="Times New Roman"/>
          <w:bCs/>
          <w:sz w:val="28"/>
          <w:szCs w:val="28"/>
        </w:rPr>
        <w:t>основании протокола подведения итогов процедуры</w:t>
      </w:r>
      <w:r w:rsidRPr="00860DA0">
        <w:rPr>
          <w:rFonts w:ascii="Times New Roman" w:hAnsi="Times New Roman" w:cs="Times New Roman"/>
          <w:bCs/>
          <w:sz w:val="28"/>
          <w:szCs w:val="28"/>
        </w:rPr>
        <w:br/>
        <w:t>21000033610000000002 от 15.11.2022 признан несостоявшимся,</w:t>
      </w:r>
      <w:r w:rsidRPr="00860DA0">
        <w:rPr>
          <w:sz w:val="28"/>
          <w:szCs w:val="28"/>
        </w:rPr>
        <w:t xml:space="preserve"> </w:t>
      </w:r>
      <w:r w:rsidRPr="00860DA0">
        <w:rPr>
          <w:rFonts w:ascii="Times New Roman" w:hAnsi="Times New Roman" w:cs="Times New Roman"/>
          <w:bCs/>
          <w:sz w:val="28"/>
          <w:szCs w:val="28"/>
        </w:rPr>
        <w:t>так как до окончания приема заявок не было подано ни одной заявки на участие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EEDBEC9" w14:textId="77777777" w:rsidR="00BB6BEB" w:rsidRPr="004A6F2A" w:rsidRDefault="00BB6BEB" w:rsidP="00BB6BE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051E9F">
        <w:rPr>
          <w:rFonts w:ascii="PT Astra Serif" w:hAnsi="PT Astra Serif" w:cs="Times New Roman"/>
          <w:b/>
          <w:sz w:val="28"/>
          <w:szCs w:val="28"/>
        </w:rPr>
        <w:t xml:space="preserve">9. </w:t>
      </w:r>
      <w:r w:rsidRPr="00E24A2B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lastRenderedPageBreak/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6D2EB8B9" w14:textId="31FA754E" w:rsidR="00051E9F" w:rsidRPr="000244AB" w:rsidRDefault="000244AB" w:rsidP="000244A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14:paraId="02D04750" w14:textId="77777777" w:rsidR="00051E9F" w:rsidRPr="00E24A2B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5E3759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7E4733" w14:textId="77777777" w:rsidR="00DA0094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3190505" w:rsidR="00D643EB" w:rsidRPr="00571868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63058C74" w14:textId="77777777" w:rsidR="00A22E80" w:rsidRPr="00A22E80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4EA2EF14" w14:textId="10F81289" w:rsidR="00BA7F96" w:rsidRPr="00BA7F96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A22E80">
        <w:rPr>
          <w:rFonts w:ascii="Times New Roman" w:hAnsi="Times New Roman" w:cs="Times New Roman"/>
          <w:bCs/>
        </w:rPr>
        <w:t xml:space="preserve">ЗАЯВКА НА УЧАСТИЕ В ПРОДАЖЕ ПОСРЕДСТВОМ ПУБЛИЧНОГО ПРЕДЛОЖЕНИЯ В ЭЛЕКТРОННОЙ ФОРМЕ </w:t>
      </w:r>
      <w:r w:rsidR="00BA7F96" w:rsidRPr="00BA7F96">
        <w:rPr>
          <w:rFonts w:ascii="Times New Roman" w:hAnsi="Times New Roman" w:cs="Times New Roman"/>
          <w:bCs/>
        </w:rPr>
        <w:t xml:space="preserve">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2E1B87CC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</w:t>
      </w:r>
      <w:r w:rsidR="00A22E80">
        <w:rPr>
          <w:rFonts w:ascii="Times New Roman" w:hAnsi="Times New Roman" w:cs="Times New Roman"/>
          <w:b/>
          <w:bCs/>
        </w:rPr>
        <w:t>ял решение об участии в торгах</w:t>
      </w:r>
      <w:r w:rsidRPr="00BA7F96">
        <w:rPr>
          <w:rFonts w:ascii="Times New Roman" w:hAnsi="Times New Roman" w:cs="Times New Roman"/>
          <w:b/>
          <w:bCs/>
        </w:rPr>
        <w:t xml:space="preserve">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519B5E5C" w:rsidR="00BA7F96" w:rsidRPr="00AA1789" w:rsidRDefault="00A22E80" w:rsidP="00BA7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процедуры</w:t>
            </w:r>
            <w:r w:rsidR="00BF7AC0">
              <w:rPr>
                <w:rFonts w:ascii="Times New Roman" w:hAnsi="Times New Roman" w:cs="Times New Roman"/>
              </w:rPr>
              <w:t xml:space="preserve">: </w:t>
            </w:r>
            <w:r w:rsidR="00A1434D">
              <w:rPr>
                <w:rFonts w:ascii="Times New Roman" w:hAnsi="Times New Roman" w:cs="Times New Roman"/>
              </w:rPr>
              <w:t>28.12</w:t>
            </w:r>
            <w:r w:rsidR="00236F56">
              <w:rPr>
                <w:rFonts w:ascii="Times New Roman" w:hAnsi="Times New Roman" w:cs="Times New Roman"/>
              </w:rPr>
              <w:t>.2022</w:t>
            </w:r>
            <w:r w:rsidR="00283360" w:rsidRPr="00283360">
              <w:rPr>
                <w:rFonts w:ascii="Times New Roman" w:hAnsi="Times New Roman" w:cs="Times New Roman"/>
              </w:rPr>
              <w:t xml:space="preserve"> г. в 11</w:t>
            </w:r>
            <w:r w:rsidR="00BF7AC0" w:rsidRPr="00283360">
              <w:rPr>
                <w:rFonts w:ascii="Times New Roman" w:hAnsi="Times New Roman" w:cs="Times New Roman"/>
              </w:rPr>
              <w:t xml:space="preserve"> часов 3</w:t>
            </w:r>
            <w:r w:rsidR="005D030E" w:rsidRPr="00283360">
              <w:rPr>
                <w:rFonts w:ascii="Times New Roman" w:hAnsi="Times New Roman" w:cs="Times New Roman"/>
              </w:rPr>
              <w:t>0 минут</w:t>
            </w:r>
            <w:r w:rsidR="00704022" w:rsidRPr="00283360">
              <w:rPr>
                <w:rFonts w:ascii="Times New Roman" w:hAnsi="Times New Roman" w:cs="Times New Roman"/>
              </w:rPr>
              <w:t xml:space="preserve"> № Лота 1</w:t>
            </w:r>
            <w:r w:rsidR="00BA7F96" w:rsidRPr="00283360">
              <w:rPr>
                <w:rFonts w:ascii="Times New Roman" w:hAnsi="Times New Roman" w:cs="Times New Roman"/>
              </w:rPr>
              <w:t xml:space="preserve">  </w:t>
            </w:r>
          </w:p>
          <w:p w14:paraId="6230015C" w14:textId="7AC9F51B" w:rsidR="00013981" w:rsidRPr="00704022" w:rsidRDefault="00BA7F96" w:rsidP="004A6F2A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4A6F2A">
              <w:t xml:space="preserve"> </w:t>
            </w:r>
            <w:r w:rsidR="00C60AA8" w:rsidRPr="00C60AA8">
              <w:rPr>
                <w:rFonts w:ascii="Times New Roman" w:hAnsi="Times New Roman" w:cs="Times New Roman"/>
              </w:rPr>
              <w:t xml:space="preserve">Нежилое здание литер «А» площадью 299.5 кв.м., кадастровый номер 15:04:0060145:24, (количество этажей 1, в том числе подземных 0), расположенный по адресу: РФ, Республика Северная Осетия-Алания, Ирафский район, с. Чикола, ул. А. Макоева д. 33 «В», с земельным участком площадью 1279 кв.м. кадастровый номер 15:04:0060144:142, категория земель-земли населенных </w:t>
            </w:r>
            <w:r w:rsidR="00C60AA8" w:rsidRPr="00C60AA8">
              <w:rPr>
                <w:rFonts w:ascii="Times New Roman" w:hAnsi="Times New Roman" w:cs="Times New Roman"/>
              </w:rPr>
              <w:lastRenderedPageBreak/>
              <w:t>пунктов, вид разрешенного использования-общественное управление, расположенный по адресу: РФ, Республика Северная Осетия-Алания, Ирафский район, с. Чикола, ул. А. Макоева д. 33 «В».</w:t>
            </w:r>
          </w:p>
        </w:tc>
      </w:tr>
    </w:tbl>
    <w:p w14:paraId="32A57682" w14:textId="5214159A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lastRenderedPageBreak/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Pr="00BA7F96">
        <w:rPr>
          <w:rFonts w:ascii="Times New Roman" w:hAnsi="Times New Roman" w:cs="Times New Roman"/>
          <w:b/>
        </w:rPr>
        <w:t>)</w:t>
      </w:r>
      <w:r w:rsidR="00506A8E" w:rsidRPr="00506A8E">
        <w:t xml:space="preserve"> </w:t>
      </w:r>
      <w:r w:rsidR="00506A8E" w:rsidRPr="00506A8E">
        <w:rPr>
          <w:rFonts w:ascii="Times New Roman" w:hAnsi="Times New Roman" w:cs="Times New Roman"/>
          <w:b/>
        </w:rPr>
        <w:t>359376 руб.00коп. (триста пятьдесят девять тысяч триста семьдесят шесть) рублей 00 копеек</w:t>
      </w:r>
      <w:r w:rsidRPr="00BA7F96">
        <w:rPr>
          <w:rFonts w:ascii="Times New Roman" w:hAnsi="Times New Roman" w:cs="Times New Roman"/>
          <w:b/>
        </w:rPr>
        <w:t xml:space="preserve">, </w:t>
      </w:r>
    </w:p>
    <w:p w14:paraId="10C02CC6" w14:textId="0369A49D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  <w:r w:rsidR="00A22E80">
        <w:rPr>
          <w:rFonts w:ascii="Times New Roman" w:hAnsi="Times New Roman" w:cs="Times New Roman"/>
          <w:b/>
          <w:bCs/>
        </w:rPr>
        <w:t xml:space="preserve"> 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27C878B2" w:rsidR="00BA7F96" w:rsidRPr="00B27A75" w:rsidRDefault="00BA7F96" w:rsidP="0093550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условия и порядок продажи посредством публичного предложения</w:t>
      </w:r>
      <w:r w:rsidRPr="00F67567">
        <w:rPr>
          <w:rFonts w:ascii="Times New Roman" w:hAnsi="Times New Roman" w:cs="Times New Roman"/>
        </w:rPr>
        <w:t>, проводимого в электронной форме, содержащиеся в Информационном сообщении о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93550E">
        <w:rPr>
          <w:rFonts w:ascii="Times New Roman" w:hAnsi="Times New Roman" w:cs="Times New Roman"/>
        </w:rPr>
        <w:t xml:space="preserve">продавца </w:t>
      </w:r>
      <w:r w:rsidR="0093550E" w:rsidRPr="0093550E">
        <w:rPr>
          <w:rFonts w:ascii="Times New Roman" w:hAnsi="Times New Roman" w:cs="Times New Roman"/>
        </w:rPr>
        <w:t xml:space="preserve"> АМС Ирафского района </w:t>
      </w:r>
      <w:r w:rsidR="0093550E">
        <w:rPr>
          <w:rFonts w:ascii="Times New Roman" w:hAnsi="Times New Roman" w:cs="Times New Roman"/>
        </w:rPr>
        <w:t>в сети «Интернет»</w:t>
      </w:r>
      <w:r w:rsidR="0002184F" w:rsidRPr="0002184F">
        <w:rPr>
          <w:rFonts w:ascii="Times New Roman" w:hAnsi="Times New Roman" w:cs="Times New Roman"/>
        </w:rPr>
        <w:t>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>), а также порядо</w:t>
      </w:r>
      <w:r w:rsidR="00A22E80">
        <w:rPr>
          <w:rFonts w:ascii="Times New Roman" w:hAnsi="Times New Roman" w:cs="Times New Roman"/>
        </w:rPr>
        <w:t>к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3247887A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</w:t>
      </w:r>
      <w:r w:rsidR="00A22E80">
        <w:rPr>
          <w:rFonts w:ascii="Times New Roman" w:hAnsi="Times New Roman" w:cs="Times New Roman"/>
        </w:rPr>
        <w:t>е признания Победителем торгов</w:t>
      </w:r>
      <w:r w:rsidRPr="00F67567">
        <w:rPr>
          <w:rFonts w:ascii="Times New Roman" w:hAnsi="Times New Roman" w:cs="Times New Roman"/>
        </w:rPr>
        <w:t xml:space="preserve">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273B5D8F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</w:t>
      </w:r>
      <w:r w:rsidR="00A22E80">
        <w:rPr>
          <w:rFonts w:ascii="Times New Roman" w:hAnsi="Times New Roman" w:cs="Times New Roman"/>
        </w:rPr>
        <w:t>овленной по результатам торгов</w:t>
      </w:r>
      <w:r w:rsidRPr="00F67567">
        <w:rPr>
          <w:rFonts w:ascii="Times New Roman" w:hAnsi="Times New Roman" w:cs="Times New Roman"/>
        </w:rPr>
        <w:t>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9AFBCB1" w:rsidR="007B12FD" w:rsidRDefault="00A22E80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Победителя торгов</w:t>
      </w:r>
      <w:r w:rsidR="00BA7F96" w:rsidRPr="00F67567">
        <w:rPr>
          <w:rFonts w:ascii="Times New Roman" w:hAnsi="Times New Roman" w:cs="Times New Roman"/>
        </w:rPr>
        <w:t xml:space="preserve">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1C4F6C8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4B52EB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072F33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4E8B868" w14:textId="6EF72F57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E01A56" w14:textId="7F5F2749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07317C1" w14:textId="5A6300E2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25B9AB" w14:textId="795092B5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1935CC" w14:textId="19319952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ED399D6" w14:textId="36C15F50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725F39" w14:textId="45BBDB68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2DD0C7B" w14:textId="0534B38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1D7607C" w14:textId="4E9D6238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CDCAC6" w14:textId="1FE8CBE6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0E2F259" w14:textId="5D781839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3461F04" w14:textId="1420D444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7BF930" w14:textId="11138107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449B42C" w14:textId="0A91D288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465704" w14:textId="0085035B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9DE77CE" w14:textId="36A6C0BA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3C68F7" w14:textId="46938F2A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5E82A62" w14:textId="56AEA93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59DDAD4" w14:textId="13E0AD91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6F5025" w14:textId="2262655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D5D860" w14:textId="2DDAAFB2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9930AD1" w14:textId="5912D4E2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7DBD97" w14:textId="6CDF1B60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62A23B1" w14:textId="59A813D7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0E1771" w14:textId="57A618F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A180662" w14:textId="26B9AADB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DC5173" w14:textId="0E2D83F8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32C76BF" w14:textId="5BD432F6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B3DC56" w14:textId="6D18BF55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7115E4" w14:textId="3261A8F7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9BDD1A" w14:textId="617E125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C91D8DD" w14:textId="4239608A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E396833" w14:textId="6B5F2CBD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44420D" w14:textId="7EA6BC11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D89E617" w14:textId="0E4CDB66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897FC5" w14:textId="76F76661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1F91D3" w14:textId="322A056C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1EDBCD" w14:textId="67E2F999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98E5048" w14:textId="33AA8AA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09556B3" w14:textId="6C2BCF71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C207A7" w14:textId="19AC773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6597BA" w14:textId="3C7A76E3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2FC4C5" w14:textId="609C9F64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39BB9C2" w14:textId="38324009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38DD59" w14:textId="761B6889" w:rsidR="000244AB" w:rsidRDefault="000244A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274D22CC" w:rsidR="007F1DE4" w:rsidRDefault="007F1DE4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12E3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74FF28BA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1F7D42C9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25A1EE9D" w14:textId="412F9AA3" w:rsidR="00D643EB" w:rsidRPr="007F1DE4" w:rsidRDefault="00D643EB" w:rsidP="007F1DE4">
            <w:pPr>
              <w:rPr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A98D" w14:textId="77777777" w:rsidR="003B6139" w:rsidRDefault="003B6139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CF4" w14:textId="77777777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9A40" w14:textId="61F293B6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A8AD" w14:textId="1D68BC7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8709" w14:textId="463041A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0433" w14:textId="327C7B94" w:rsidR="0096625F" w:rsidRPr="00BB6BEB" w:rsidRDefault="0096625F" w:rsidP="00BB6BEB">
            <w:pPr>
              <w:rPr>
                <w:lang w:eastAsia="ru-RU"/>
              </w:rPr>
            </w:pPr>
          </w:p>
        </w:tc>
      </w:tr>
    </w:tbl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27A0A8E6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74BA8B27" w:rsidR="001A4869" w:rsidRPr="00B33F1C" w:rsidRDefault="00C932AF" w:rsidP="00117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подведения итогов торгов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117143" w:rsidRP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</w:t>
      </w:r>
      <w:r w:rsidR="00117143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24C61E40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C60AA8" w:rsidRPr="00C60AA8">
        <w:rPr>
          <w:rFonts w:ascii="Times New Roman" w:hAnsi="Times New Roman" w:cs="Times New Roman"/>
          <w:sz w:val="24"/>
          <w:szCs w:val="24"/>
        </w:rPr>
        <w:t>Нежилое здание литер «А» площадью 299.5 кв.м., кадастровый номер 15:04:0060145:24, (количество этажей 1, в том числе подземных 0), расположенный по адресу: РФ, Республика Северная Осетия-Алания, Ирафский район, с. Чикола, ул. А. Макоева д. 33 «В», с земельным участком площадью 1279 кв.м. кадастровый номер 15:04:0060144:142, категория земель-земли населенных пунктов, вид разрешенного использования-общественное управление, расположенный по адресу: РФ, Республика Северная Осетия-Алания, Ирафский район, с. Чикола, ул. А. Макоева д. 33 «В».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65757981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приобретаемого Покупателем Имущества установлена в соответствии с протоколом об итогах </w:t>
      </w:r>
      <w:r w:rsidR="006B6B46" w:rsidRPr="006B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посредством публичного предложения в электронной форме муниципального имущества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685B3099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задатка составляет: ____________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руб.00коп. </w:t>
      </w:r>
      <w:proofErr w:type="gramStart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рублей.00копеек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10C5D189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производится в течение </w:t>
      </w:r>
      <w:r w:rsidR="00EB45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8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592C7B9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адрес:363500 РСО-Алания, </w:t>
      </w:r>
    </w:p>
    <w:p w14:paraId="1A8D1D9B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2B57211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75E5B6D6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ИНН-1508002546</w:t>
      </w:r>
    </w:p>
    <w:p w14:paraId="08A42695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1C68D8E7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7D55E749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396E5C3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04103007480).</w:t>
      </w:r>
    </w:p>
    <w:p w14:paraId="2EF948A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2C63F359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17B7347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48022B62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1647181C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074A4EA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5E78E6E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2F50019B" w14:textId="2D08558F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Оплата стоимости земли </w:t>
      </w:r>
    </w:p>
    <w:p w14:paraId="2B5A6383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платежа: РСО-Алания, Ирафский район, 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А. Макоева, д. 18. Почтовый адрес: :363500 РСО-Алания,</w:t>
      </w:r>
    </w:p>
    <w:p w14:paraId="45A86804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8AB299B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09681C71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7A17DB9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004F0C37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739458D8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1D213F86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04103007480).</w:t>
      </w:r>
    </w:p>
    <w:p w14:paraId="1F8EAC82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3F7CACE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2D00E950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17037709" w14:textId="77777777" w:rsidR="002C1F52" w:rsidRPr="002C1F52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ОКТМО- 90620470</w:t>
      </w:r>
    </w:p>
    <w:p w14:paraId="25D480E7" w14:textId="7AFA46FE" w:rsidR="00A545BF" w:rsidRPr="00B33F1C" w:rsidRDefault="002C1F52" w:rsidP="002C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83011406025050000430.</w:t>
      </w: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10CCE7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Передать Имущество Покупателю по акту приема-передачи в течение 10 дней после зачисления </w:t>
      </w:r>
      <w:r w:rsidR="00BF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 суммы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3DF39BA1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ним, в течение 30 дней с момента полной оплаты Имущества и </w:t>
      </w:r>
      <w:r w:rsidR="0087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договор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права Продавцу.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333F6F4A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</w:t>
      </w:r>
      <w:r w:rsidR="009F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составлен в двух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  <w:r w:rsidR="009E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3D7E8DA" w14:textId="77777777" w:rsidR="00D21076" w:rsidRPr="00DD48F4" w:rsidRDefault="00CA2CA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076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1D0CDC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6D099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1F148FA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2D72E2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411F1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7F63B3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2EE35D81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6386FC7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4C917DC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0493663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5C4BF1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07E3CC4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550EFA77" w14:textId="157CFB70" w:rsidR="00CA2CA6" w:rsidRPr="00B33F1C" w:rsidRDefault="00D21076" w:rsidP="00BB6BE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</w:t>
            </w:r>
            <w:r w:rsidR="00B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6BCE60E2" w14:textId="2AA968B6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B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72F782B5" w:rsidR="001A4869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010AC" w14:textId="3949BEDA" w:rsidR="00D21076" w:rsidRPr="00B33F1C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F2F1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DBFE7E8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70F2259" w14:textId="6AA56A66" w:rsidR="00707F1B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FC27D" w14:textId="77777777" w:rsidR="00707F1B" w:rsidRPr="00B33F1C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18034A2F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</w:t>
      </w:r>
      <w:r w:rsidR="00844553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47838328" w:rsidR="001A4869" w:rsidRPr="00B33F1C" w:rsidRDefault="001A4869" w:rsidP="008F27E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C60AA8" w:rsidRPr="00C6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литер «А» площадью 299.5 кв.м., кадастровый номер 15:04:0060145:24, (количество этажей 1, в том числе подземных 0), расположенный по адресу: РФ, Республика Северная Осетия-Алания, Ирафский район, с. Чикола, ул. А. Макоева д. 33 «В», с земельным участком площадью 1279 кв.м. кадастровый номер 15:04:0060144:142, категория земель-земли населенных пунктов, вид разрешенного использования-общественное управление, расположенный по адресу: РФ, Республика Северная Осетия-Алания, Ирафский район, с. Чикола, ул. А. Макоева д. 33 «В».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8ACBFC4" w:rsidR="001A4869" w:rsidRPr="00B33F1C" w:rsidRDefault="009F41BA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двух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каждый из которых обладает одинаковой юридической силой,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одному для каждой из Сторон.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65C7829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31E8F96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B3A5A6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3E6BFF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65F982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C5D3B87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2FC193C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304EAB5C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5510A424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A75C9F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13D3427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AA86D7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1A7C89E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6C45A8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60C8849E" w14:textId="19146210" w:rsidR="001A4869" w:rsidRPr="00B33F1C" w:rsidRDefault="0039671A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77777777" w:rsidR="001A4869" w:rsidRPr="00B33F1C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44AB"/>
    <w:rsid w:val="00025621"/>
    <w:rsid w:val="000273FD"/>
    <w:rsid w:val="00035FD6"/>
    <w:rsid w:val="00036DEB"/>
    <w:rsid w:val="00040778"/>
    <w:rsid w:val="00041386"/>
    <w:rsid w:val="00043AAB"/>
    <w:rsid w:val="000447CD"/>
    <w:rsid w:val="00045D19"/>
    <w:rsid w:val="000468DF"/>
    <w:rsid w:val="00051E9F"/>
    <w:rsid w:val="00052F2F"/>
    <w:rsid w:val="00054AD7"/>
    <w:rsid w:val="00062661"/>
    <w:rsid w:val="000632E8"/>
    <w:rsid w:val="00065724"/>
    <w:rsid w:val="00065D03"/>
    <w:rsid w:val="000666B2"/>
    <w:rsid w:val="000800ED"/>
    <w:rsid w:val="000848C6"/>
    <w:rsid w:val="00085B5E"/>
    <w:rsid w:val="00085E0D"/>
    <w:rsid w:val="0008605B"/>
    <w:rsid w:val="0008768D"/>
    <w:rsid w:val="00091644"/>
    <w:rsid w:val="000A1B2B"/>
    <w:rsid w:val="000B240C"/>
    <w:rsid w:val="000B2894"/>
    <w:rsid w:val="000B435F"/>
    <w:rsid w:val="000B6A43"/>
    <w:rsid w:val="000B7289"/>
    <w:rsid w:val="000C2C0B"/>
    <w:rsid w:val="000C40A7"/>
    <w:rsid w:val="000C77F8"/>
    <w:rsid w:val="000E0350"/>
    <w:rsid w:val="000E5DD8"/>
    <w:rsid w:val="000E6DF6"/>
    <w:rsid w:val="000F3054"/>
    <w:rsid w:val="000F3CBA"/>
    <w:rsid w:val="000F4831"/>
    <w:rsid w:val="000F6159"/>
    <w:rsid w:val="00103986"/>
    <w:rsid w:val="001040EC"/>
    <w:rsid w:val="00107F56"/>
    <w:rsid w:val="001108EC"/>
    <w:rsid w:val="00110A71"/>
    <w:rsid w:val="00117143"/>
    <w:rsid w:val="00121AF1"/>
    <w:rsid w:val="00122AC0"/>
    <w:rsid w:val="00126A6D"/>
    <w:rsid w:val="001335E2"/>
    <w:rsid w:val="00137510"/>
    <w:rsid w:val="001431F8"/>
    <w:rsid w:val="001469D9"/>
    <w:rsid w:val="00151EFD"/>
    <w:rsid w:val="0015436F"/>
    <w:rsid w:val="00164D1D"/>
    <w:rsid w:val="00164F76"/>
    <w:rsid w:val="001712F7"/>
    <w:rsid w:val="001720FB"/>
    <w:rsid w:val="00172B02"/>
    <w:rsid w:val="001848F6"/>
    <w:rsid w:val="00191335"/>
    <w:rsid w:val="00194455"/>
    <w:rsid w:val="00196DFB"/>
    <w:rsid w:val="001A044B"/>
    <w:rsid w:val="001A4869"/>
    <w:rsid w:val="001B73AC"/>
    <w:rsid w:val="001B7977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07D76"/>
    <w:rsid w:val="00210F7F"/>
    <w:rsid w:val="00212E35"/>
    <w:rsid w:val="0021479C"/>
    <w:rsid w:val="002170FC"/>
    <w:rsid w:val="00225738"/>
    <w:rsid w:val="00226C82"/>
    <w:rsid w:val="0023560E"/>
    <w:rsid w:val="00235CAA"/>
    <w:rsid w:val="00236383"/>
    <w:rsid w:val="00236F56"/>
    <w:rsid w:val="00241420"/>
    <w:rsid w:val="00243374"/>
    <w:rsid w:val="00252A22"/>
    <w:rsid w:val="002611A6"/>
    <w:rsid w:val="002620F8"/>
    <w:rsid w:val="00266C6A"/>
    <w:rsid w:val="00273114"/>
    <w:rsid w:val="00275145"/>
    <w:rsid w:val="00275348"/>
    <w:rsid w:val="00277B8A"/>
    <w:rsid w:val="00283360"/>
    <w:rsid w:val="00286A20"/>
    <w:rsid w:val="002A35A8"/>
    <w:rsid w:val="002A6AE7"/>
    <w:rsid w:val="002A7CE9"/>
    <w:rsid w:val="002B6250"/>
    <w:rsid w:val="002C1F52"/>
    <w:rsid w:val="002C346C"/>
    <w:rsid w:val="002C4CAE"/>
    <w:rsid w:val="002E3F75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B088D"/>
    <w:rsid w:val="003B6139"/>
    <w:rsid w:val="003B6662"/>
    <w:rsid w:val="003F3FDC"/>
    <w:rsid w:val="00400F40"/>
    <w:rsid w:val="00403175"/>
    <w:rsid w:val="004121DD"/>
    <w:rsid w:val="00414125"/>
    <w:rsid w:val="0041718F"/>
    <w:rsid w:val="00432764"/>
    <w:rsid w:val="004359DE"/>
    <w:rsid w:val="00440131"/>
    <w:rsid w:val="00443E6C"/>
    <w:rsid w:val="00450C9E"/>
    <w:rsid w:val="00453594"/>
    <w:rsid w:val="00460486"/>
    <w:rsid w:val="0047756C"/>
    <w:rsid w:val="00485452"/>
    <w:rsid w:val="00487506"/>
    <w:rsid w:val="00490877"/>
    <w:rsid w:val="004914CF"/>
    <w:rsid w:val="00493E39"/>
    <w:rsid w:val="004A6CF3"/>
    <w:rsid w:val="004A6F2A"/>
    <w:rsid w:val="004B499B"/>
    <w:rsid w:val="004C37C2"/>
    <w:rsid w:val="004D15E2"/>
    <w:rsid w:val="004E4FEF"/>
    <w:rsid w:val="004E5764"/>
    <w:rsid w:val="004F04BB"/>
    <w:rsid w:val="004F427F"/>
    <w:rsid w:val="00500B06"/>
    <w:rsid w:val="00501202"/>
    <w:rsid w:val="005012BF"/>
    <w:rsid w:val="00504B02"/>
    <w:rsid w:val="00506A8E"/>
    <w:rsid w:val="00516E2E"/>
    <w:rsid w:val="005273A1"/>
    <w:rsid w:val="00532CB9"/>
    <w:rsid w:val="005339EF"/>
    <w:rsid w:val="005339F1"/>
    <w:rsid w:val="00550BFB"/>
    <w:rsid w:val="00557464"/>
    <w:rsid w:val="00586111"/>
    <w:rsid w:val="00591430"/>
    <w:rsid w:val="00593D55"/>
    <w:rsid w:val="00596101"/>
    <w:rsid w:val="005B045F"/>
    <w:rsid w:val="005B40EA"/>
    <w:rsid w:val="005C149A"/>
    <w:rsid w:val="005C4BBC"/>
    <w:rsid w:val="005C6796"/>
    <w:rsid w:val="005C7028"/>
    <w:rsid w:val="005C714F"/>
    <w:rsid w:val="005D030E"/>
    <w:rsid w:val="005D0EA2"/>
    <w:rsid w:val="005D3B34"/>
    <w:rsid w:val="005F0230"/>
    <w:rsid w:val="005F16ED"/>
    <w:rsid w:val="005F1A08"/>
    <w:rsid w:val="005F70DB"/>
    <w:rsid w:val="00613274"/>
    <w:rsid w:val="00623DD1"/>
    <w:rsid w:val="00632958"/>
    <w:rsid w:val="00650369"/>
    <w:rsid w:val="006516D6"/>
    <w:rsid w:val="00652EB0"/>
    <w:rsid w:val="006561EE"/>
    <w:rsid w:val="00660ECF"/>
    <w:rsid w:val="006660AE"/>
    <w:rsid w:val="00666612"/>
    <w:rsid w:val="00666BA8"/>
    <w:rsid w:val="006709FA"/>
    <w:rsid w:val="00673670"/>
    <w:rsid w:val="00681574"/>
    <w:rsid w:val="00681685"/>
    <w:rsid w:val="006860A3"/>
    <w:rsid w:val="006969FA"/>
    <w:rsid w:val="006A17E8"/>
    <w:rsid w:val="006A4489"/>
    <w:rsid w:val="006B0AF9"/>
    <w:rsid w:val="006B6B46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57BF"/>
    <w:rsid w:val="006D670E"/>
    <w:rsid w:val="006E4059"/>
    <w:rsid w:val="006E5517"/>
    <w:rsid w:val="006F5430"/>
    <w:rsid w:val="006F6206"/>
    <w:rsid w:val="006F68F0"/>
    <w:rsid w:val="006F6943"/>
    <w:rsid w:val="006F78C8"/>
    <w:rsid w:val="00704022"/>
    <w:rsid w:val="0070735F"/>
    <w:rsid w:val="00707F1B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0D27"/>
    <w:rsid w:val="00755A9E"/>
    <w:rsid w:val="007637C0"/>
    <w:rsid w:val="00765CE2"/>
    <w:rsid w:val="0077190A"/>
    <w:rsid w:val="00783052"/>
    <w:rsid w:val="00784737"/>
    <w:rsid w:val="00787424"/>
    <w:rsid w:val="00793E7A"/>
    <w:rsid w:val="00795667"/>
    <w:rsid w:val="007A2EB0"/>
    <w:rsid w:val="007A7436"/>
    <w:rsid w:val="007A7AE4"/>
    <w:rsid w:val="007B12FD"/>
    <w:rsid w:val="007B3756"/>
    <w:rsid w:val="007B3826"/>
    <w:rsid w:val="007B4DA3"/>
    <w:rsid w:val="007B4DD6"/>
    <w:rsid w:val="007B5CE4"/>
    <w:rsid w:val="007B63D8"/>
    <w:rsid w:val="007C0174"/>
    <w:rsid w:val="007C1059"/>
    <w:rsid w:val="007D0E05"/>
    <w:rsid w:val="007D5B33"/>
    <w:rsid w:val="007E3528"/>
    <w:rsid w:val="007E487E"/>
    <w:rsid w:val="007E4AAC"/>
    <w:rsid w:val="007E75AB"/>
    <w:rsid w:val="007F1DE4"/>
    <w:rsid w:val="007F2549"/>
    <w:rsid w:val="007F57D2"/>
    <w:rsid w:val="007F71C6"/>
    <w:rsid w:val="00804104"/>
    <w:rsid w:val="008125C7"/>
    <w:rsid w:val="008128CA"/>
    <w:rsid w:val="0081388A"/>
    <w:rsid w:val="00815E3B"/>
    <w:rsid w:val="0082087C"/>
    <w:rsid w:val="0082661F"/>
    <w:rsid w:val="00827ECC"/>
    <w:rsid w:val="0083538F"/>
    <w:rsid w:val="00836115"/>
    <w:rsid w:val="00844553"/>
    <w:rsid w:val="008527CD"/>
    <w:rsid w:val="00852BF7"/>
    <w:rsid w:val="00852C00"/>
    <w:rsid w:val="00854238"/>
    <w:rsid w:val="00855BEB"/>
    <w:rsid w:val="008608F7"/>
    <w:rsid w:val="00860DA0"/>
    <w:rsid w:val="0086599E"/>
    <w:rsid w:val="00867539"/>
    <w:rsid w:val="00872B89"/>
    <w:rsid w:val="008761CD"/>
    <w:rsid w:val="00876C7A"/>
    <w:rsid w:val="00890C2F"/>
    <w:rsid w:val="00892935"/>
    <w:rsid w:val="008A6743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F12"/>
    <w:rsid w:val="008F27E6"/>
    <w:rsid w:val="008F537E"/>
    <w:rsid w:val="00903D29"/>
    <w:rsid w:val="00915443"/>
    <w:rsid w:val="00917E3F"/>
    <w:rsid w:val="00920024"/>
    <w:rsid w:val="00921FDD"/>
    <w:rsid w:val="009228E3"/>
    <w:rsid w:val="00930C3D"/>
    <w:rsid w:val="00932284"/>
    <w:rsid w:val="0093550E"/>
    <w:rsid w:val="00945755"/>
    <w:rsid w:val="00945DE1"/>
    <w:rsid w:val="00953E06"/>
    <w:rsid w:val="009554EC"/>
    <w:rsid w:val="009653FB"/>
    <w:rsid w:val="0096625F"/>
    <w:rsid w:val="009725F3"/>
    <w:rsid w:val="0097361C"/>
    <w:rsid w:val="00985BC2"/>
    <w:rsid w:val="009861CE"/>
    <w:rsid w:val="00997CF3"/>
    <w:rsid w:val="009A30C2"/>
    <w:rsid w:val="009A58A4"/>
    <w:rsid w:val="009A640D"/>
    <w:rsid w:val="009B232E"/>
    <w:rsid w:val="009B3D6B"/>
    <w:rsid w:val="009B4E64"/>
    <w:rsid w:val="009B5FC2"/>
    <w:rsid w:val="009C3044"/>
    <w:rsid w:val="009C45AB"/>
    <w:rsid w:val="009C5B3A"/>
    <w:rsid w:val="009D02D5"/>
    <w:rsid w:val="009D0F0F"/>
    <w:rsid w:val="009D3000"/>
    <w:rsid w:val="009D3110"/>
    <w:rsid w:val="009E0221"/>
    <w:rsid w:val="009E0928"/>
    <w:rsid w:val="009E3330"/>
    <w:rsid w:val="009E3D38"/>
    <w:rsid w:val="009E40FC"/>
    <w:rsid w:val="009E6629"/>
    <w:rsid w:val="009E6633"/>
    <w:rsid w:val="009E6F5F"/>
    <w:rsid w:val="009F41BA"/>
    <w:rsid w:val="00A04BC4"/>
    <w:rsid w:val="00A04DCA"/>
    <w:rsid w:val="00A1007C"/>
    <w:rsid w:val="00A1434D"/>
    <w:rsid w:val="00A14854"/>
    <w:rsid w:val="00A22E80"/>
    <w:rsid w:val="00A241E0"/>
    <w:rsid w:val="00A2761C"/>
    <w:rsid w:val="00A37DD1"/>
    <w:rsid w:val="00A40931"/>
    <w:rsid w:val="00A42449"/>
    <w:rsid w:val="00A46B9D"/>
    <w:rsid w:val="00A50CC2"/>
    <w:rsid w:val="00A53913"/>
    <w:rsid w:val="00A545BF"/>
    <w:rsid w:val="00A60956"/>
    <w:rsid w:val="00A77FA1"/>
    <w:rsid w:val="00A77FE5"/>
    <w:rsid w:val="00A80898"/>
    <w:rsid w:val="00A91A02"/>
    <w:rsid w:val="00A96B57"/>
    <w:rsid w:val="00AA1789"/>
    <w:rsid w:val="00AA601C"/>
    <w:rsid w:val="00AA6E27"/>
    <w:rsid w:val="00AB20E2"/>
    <w:rsid w:val="00AB36BE"/>
    <w:rsid w:val="00AB4153"/>
    <w:rsid w:val="00AB595D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06820"/>
    <w:rsid w:val="00B10BAA"/>
    <w:rsid w:val="00B10EFB"/>
    <w:rsid w:val="00B1377A"/>
    <w:rsid w:val="00B1566C"/>
    <w:rsid w:val="00B20943"/>
    <w:rsid w:val="00B209B8"/>
    <w:rsid w:val="00B23932"/>
    <w:rsid w:val="00B27A75"/>
    <w:rsid w:val="00B30B7C"/>
    <w:rsid w:val="00B33F1C"/>
    <w:rsid w:val="00B40438"/>
    <w:rsid w:val="00B463FE"/>
    <w:rsid w:val="00B46E78"/>
    <w:rsid w:val="00B4735F"/>
    <w:rsid w:val="00B52953"/>
    <w:rsid w:val="00B545D1"/>
    <w:rsid w:val="00B641C3"/>
    <w:rsid w:val="00B649AF"/>
    <w:rsid w:val="00B7436A"/>
    <w:rsid w:val="00B833E9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BEB"/>
    <w:rsid w:val="00BB6CC5"/>
    <w:rsid w:val="00BC1055"/>
    <w:rsid w:val="00BC2474"/>
    <w:rsid w:val="00BC35A1"/>
    <w:rsid w:val="00BD1277"/>
    <w:rsid w:val="00BD49A7"/>
    <w:rsid w:val="00BE1106"/>
    <w:rsid w:val="00BE2434"/>
    <w:rsid w:val="00BE49C9"/>
    <w:rsid w:val="00BE656A"/>
    <w:rsid w:val="00BF0739"/>
    <w:rsid w:val="00BF3A8B"/>
    <w:rsid w:val="00BF7AC0"/>
    <w:rsid w:val="00C04D17"/>
    <w:rsid w:val="00C1411A"/>
    <w:rsid w:val="00C230BD"/>
    <w:rsid w:val="00C23A2B"/>
    <w:rsid w:val="00C27EE8"/>
    <w:rsid w:val="00C3169B"/>
    <w:rsid w:val="00C33538"/>
    <w:rsid w:val="00C3386E"/>
    <w:rsid w:val="00C364E9"/>
    <w:rsid w:val="00C379B3"/>
    <w:rsid w:val="00C418CA"/>
    <w:rsid w:val="00C439AB"/>
    <w:rsid w:val="00C4797F"/>
    <w:rsid w:val="00C54162"/>
    <w:rsid w:val="00C54BD6"/>
    <w:rsid w:val="00C551B3"/>
    <w:rsid w:val="00C60AA8"/>
    <w:rsid w:val="00C61F79"/>
    <w:rsid w:val="00C67F25"/>
    <w:rsid w:val="00C7244B"/>
    <w:rsid w:val="00C82D81"/>
    <w:rsid w:val="00C8387A"/>
    <w:rsid w:val="00C84616"/>
    <w:rsid w:val="00C84751"/>
    <w:rsid w:val="00C90C22"/>
    <w:rsid w:val="00C91C3D"/>
    <w:rsid w:val="00C932AF"/>
    <w:rsid w:val="00C9347C"/>
    <w:rsid w:val="00CA2CA6"/>
    <w:rsid w:val="00CA41F4"/>
    <w:rsid w:val="00CB3687"/>
    <w:rsid w:val="00CB5396"/>
    <w:rsid w:val="00CB7249"/>
    <w:rsid w:val="00CC16EF"/>
    <w:rsid w:val="00CC6746"/>
    <w:rsid w:val="00CD1C30"/>
    <w:rsid w:val="00CD275C"/>
    <w:rsid w:val="00CD4CC7"/>
    <w:rsid w:val="00CD6AD2"/>
    <w:rsid w:val="00CE102C"/>
    <w:rsid w:val="00CE5E1F"/>
    <w:rsid w:val="00CE6F5B"/>
    <w:rsid w:val="00CF2A2B"/>
    <w:rsid w:val="00CF3CB5"/>
    <w:rsid w:val="00CF4CA9"/>
    <w:rsid w:val="00D01F22"/>
    <w:rsid w:val="00D10C5B"/>
    <w:rsid w:val="00D1210E"/>
    <w:rsid w:val="00D13BE0"/>
    <w:rsid w:val="00D15094"/>
    <w:rsid w:val="00D21076"/>
    <w:rsid w:val="00D325DA"/>
    <w:rsid w:val="00D33F0A"/>
    <w:rsid w:val="00D446DC"/>
    <w:rsid w:val="00D44B04"/>
    <w:rsid w:val="00D470AC"/>
    <w:rsid w:val="00D51419"/>
    <w:rsid w:val="00D5188B"/>
    <w:rsid w:val="00D55973"/>
    <w:rsid w:val="00D56EF2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4655"/>
    <w:rsid w:val="00DA51E6"/>
    <w:rsid w:val="00DA59F0"/>
    <w:rsid w:val="00DA5CEB"/>
    <w:rsid w:val="00DA7668"/>
    <w:rsid w:val="00DB140C"/>
    <w:rsid w:val="00DB322C"/>
    <w:rsid w:val="00DB3954"/>
    <w:rsid w:val="00DB5682"/>
    <w:rsid w:val="00DC2791"/>
    <w:rsid w:val="00DC3158"/>
    <w:rsid w:val="00DC65A5"/>
    <w:rsid w:val="00DE2655"/>
    <w:rsid w:val="00DE566A"/>
    <w:rsid w:val="00DF3196"/>
    <w:rsid w:val="00E0170E"/>
    <w:rsid w:val="00E0272E"/>
    <w:rsid w:val="00E03DD1"/>
    <w:rsid w:val="00E04212"/>
    <w:rsid w:val="00E050CE"/>
    <w:rsid w:val="00E073D5"/>
    <w:rsid w:val="00E1706D"/>
    <w:rsid w:val="00E17B73"/>
    <w:rsid w:val="00E20EF9"/>
    <w:rsid w:val="00E21E24"/>
    <w:rsid w:val="00E24749"/>
    <w:rsid w:val="00E24A2B"/>
    <w:rsid w:val="00E35343"/>
    <w:rsid w:val="00E42BF5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A3E37"/>
    <w:rsid w:val="00EB0BB1"/>
    <w:rsid w:val="00EB29CE"/>
    <w:rsid w:val="00EB45B0"/>
    <w:rsid w:val="00EB5135"/>
    <w:rsid w:val="00EC056A"/>
    <w:rsid w:val="00EC53B2"/>
    <w:rsid w:val="00EC712A"/>
    <w:rsid w:val="00EE09D9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19DF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3F2C"/>
    <w:rsid w:val="00F84A09"/>
    <w:rsid w:val="00F864B6"/>
    <w:rsid w:val="00F903D8"/>
    <w:rsid w:val="00F93076"/>
    <w:rsid w:val="00F93F0A"/>
    <w:rsid w:val="00FA19FF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0D1C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35A1-2160-4836-A441-234EC812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21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341</cp:revision>
  <cp:lastPrinted>2022-11-23T06:30:00Z</cp:lastPrinted>
  <dcterms:created xsi:type="dcterms:W3CDTF">2020-03-18T09:27:00Z</dcterms:created>
  <dcterms:modified xsi:type="dcterms:W3CDTF">2022-11-23T09:01:00Z</dcterms:modified>
</cp:coreProperties>
</file>